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b/>
          <w:sz w:val="30"/>
          <w:szCs w:val="30"/>
        </w:rPr>
      </w:pPr>
      <w:r>
        <w:rPr>
          <w:rFonts w:hint="eastAsia"/>
          <w:b/>
          <w:sz w:val="30"/>
          <w:szCs w:val="30"/>
        </w:rPr>
        <w:t>三年级学生实践周《税收筹划大赛》实施细则</w:t>
      </w:r>
    </w:p>
    <w:p>
      <w:pPr>
        <w:jc w:val="center"/>
        <w:rPr>
          <w:b/>
          <w:sz w:val="28"/>
          <w:szCs w:val="28"/>
        </w:rPr>
      </w:pPr>
      <w:r>
        <w:rPr>
          <w:rFonts w:hint="eastAsia"/>
          <w:b/>
          <w:sz w:val="28"/>
          <w:szCs w:val="28"/>
        </w:rPr>
        <w:t>会计与金融学院</w:t>
      </w:r>
    </w:p>
    <w:p>
      <w:pPr>
        <w:widowControl/>
        <w:spacing w:line="400" w:lineRule="exact"/>
        <w:ind w:firstLine="480" w:firstLineChars="200"/>
        <w:jc w:val="left"/>
        <w:rPr>
          <w:rFonts w:ascii="宋体" w:hAnsi="宋体" w:cs="宋体"/>
          <w:kern w:val="0"/>
          <w:sz w:val="24"/>
        </w:rPr>
      </w:pPr>
      <w:r>
        <w:rPr>
          <w:rFonts w:hint="eastAsia"/>
          <w:sz w:val="24"/>
        </w:rPr>
        <w:t>为了提高学生的实践能力，训练学生的税法应用和税收筹划技能，践行培养应用型人才的目标，本院在大三实践教学周展开税收筹划大赛活动。</w:t>
      </w:r>
      <w:r>
        <w:rPr>
          <w:rFonts w:hint="eastAsia"/>
          <w:color w:val="000000"/>
          <w:sz w:val="24"/>
        </w:rPr>
        <w:t>为确保此项活动能够顺利和有序的展开，特制定实施细则如下：</w:t>
      </w:r>
    </w:p>
    <w:p>
      <w:pPr>
        <w:spacing w:line="360" w:lineRule="auto"/>
        <w:ind w:firstLine="480" w:firstLineChars="200"/>
        <w:rPr>
          <w:rFonts w:ascii="宋体" w:hAnsi="宋体"/>
          <w:sz w:val="24"/>
        </w:rPr>
      </w:pPr>
      <w:r>
        <w:rPr>
          <w:rFonts w:hint="eastAsia" w:ascii="宋体" w:hAnsi="宋体"/>
          <w:sz w:val="24"/>
        </w:rPr>
        <w:t>1.税收筹划大赛按照“搜集或调研案例—设计税收筹划方案—方案解读与展示”为主要流程，学生的案例搜集及方案设计等工作须在指定范围内进行，本学期指定筹划范围仅限国内税种,不应涵盖跨国税收筹划的范畴。</w:t>
      </w:r>
    </w:p>
    <w:p>
      <w:pPr>
        <w:spacing w:line="400" w:lineRule="exact"/>
        <w:ind w:firstLine="480" w:firstLineChars="200"/>
        <w:rPr>
          <w:sz w:val="24"/>
        </w:rPr>
      </w:pPr>
      <w:r>
        <w:rPr>
          <w:rFonts w:hint="eastAsia"/>
          <w:sz w:val="24"/>
        </w:rPr>
        <w:t>2．郭宏老师、张天敏老师作为指导老师主要以不跟班的方式进行指导，其中郭宏老师负责税收班，张天敏老师负责财政班，学生可通过电话、微信、预约见面等各种方式寻求指导意见。</w:t>
      </w:r>
    </w:p>
    <w:p>
      <w:pPr>
        <w:spacing w:line="400" w:lineRule="exact"/>
        <w:ind w:firstLine="480" w:firstLineChars="200"/>
        <w:rPr>
          <w:sz w:val="24"/>
        </w:rPr>
      </w:pPr>
      <w:r>
        <w:rPr>
          <w:rFonts w:hint="eastAsia"/>
          <w:color w:val="000000"/>
          <w:sz w:val="24"/>
        </w:rPr>
        <w:t>3.</w:t>
      </w:r>
      <w:r>
        <w:rPr>
          <w:sz w:val="24"/>
        </w:rPr>
        <w:t xml:space="preserve"> </w:t>
      </w:r>
      <w:r>
        <w:rPr>
          <w:rFonts w:hint="eastAsia"/>
          <w:sz w:val="24"/>
        </w:rPr>
        <w:t>各班以</w:t>
      </w:r>
      <w:r>
        <w:rPr>
          <w:sz w:val="24"/>
        </w:rPr>
        <w:t>5</w:t>
      </w:r>
      <w:r>
        <w:rPr>
          <w:rFonts w:hint="eastAsia"/>
          <w:sz w:val="24"/>
        </w:rPr>
        <w:t>-</w:t>
      </w:r>
      <w:r>
        <w:rPr>
          <w:sz w:val="24"/>
        </w:rPr>
        <w:t>7</w:t>
      </w:r>
      <w:r>
        <w:rPr>
          <w:rFonts w:hint="eastAsia"/>
          <w:sz w:val="24"/>
        </w:rPr>
        <w:t>人为一个小组，在相关老师的指导下搜集案例资料或展开调研然后进行筹划方案设计。每组的活动经费是300元，由各组组长领取，其他同学有义务监督经费的使用。</w:t>
      </w:r>
      <w:r>
        <w:rPr>
          <w:rFonts w:hint="eastAsia"/>
          <w:sz w:val="24"/>
        </w:rPr>
        <w:tab/>
      </w:r>
    </w:p>
    <w:p>
      <w:pPr>
        <w:spacing w:line="400" w:lineRule="exact"/>
        <w:ind w:firstLine="480" w:firstLineChars="200"/>
        <w:rPr>
          <w:sz w:val="24"/>
        </w:rPr>
      </w:pPr>
      <w:r>
        <w:rPr>
          <w:rFonts w:hint="eastAsia"/>
          <w:sz w:val="24"/>
        </w:rPr>
        <w:t>4. 具体活动时间安排如下：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3730"/>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时间</w:t>
            </w:r>
          </w:p>
        </w:tc>
        <w:tc>
          <w:tcPr>
            <w:tcW w:w="3730" w:type="dxa"/>
            <w:shd w:val="clear" w:color="auto" w:fill="auto"/>
          </w:tcPr>
          <w:p>
            <w:pPr>
              <w:spacing w:line="400" w:lineRule="exact"/>
              <w:rPr>
                <w:sz w:val="24"/>
              </w:rPr>
            </w:pPr>
            <w:r>
              <w:rPr>
                <w:rFonts w:hint="eastAsia"/>
                <w:sz w:val="24"/>
              </w:rPr>
              <w:t>活动内容</w:t>
            </w:r>
          </w:p>
        </w:tc>
        <w:tc>
          <w:tcPr>
            <w:tcW w:w="2841" w:type="dxa"/>
            <w:shd w:val="clear" w:color="auto" w:fill="auto"/>
          </w:tcPr>
          <w:p>
            <w:pPr>
              <w:spacing w:line="400" w:lineRule="exact"/>
              <w:rPr>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第十九周周一</w:t>
            </w:r>
          </w:p>
        </w:tc>
        <w:tc>
          <w:tcPr>
            <w:tcW w:w="3730" w:type="dxa"/>
            <w:shd w:val="clear" w:color="auto" w:fill="auto"/>
          </w:tcPr>
          <w:p>
            <w:pPr>
              <w:spacing w:line="400" w:lineRule="exact"/>
              <w:rPr>
                <w:sz w:val="24"/>
              </w:rPr>
            </w:pPr>
            <w:r>
              <w:rPr>
                <w:rFonts w:hint="eastAsia"/>
                <w:sz w:val="24"/>
              </w:rPr>
              <w:t>由指导老师给所指导学生开会，强调实践教学的意义并对税收筹划的内容、形式、要求等进行相应的培训并落实学生分组名单，并与组长交换联系方式。</w:t>
            </w:r>
          </w:p>
        </w:tc>
        <w:tc>
          <w:tcPr>
            <w:tcW w:w="2841" w:type="dxa"/>
            <w:shd w:val="clear" w:color="auto" w:fill="auto"/>
          </w:tcPr>
          <w:p>
            <w:pPr>
              <w:spacing w:line="400" w:lineRule="exact"/>
              <w:rPr>
                <w:sz w:val="24"/>
              </w:rPr>
            </w:pPr>
            <w:r>
              <w:rPr>
                <w:rFonts w:hint="eastAsia"/>
                <w:sz w:val="24"/>
              </w:rPr>
              <w:t>出席情况记入考勤分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第十九周周二到第二十周周一</w:t>
            </w:r>
          </w:p>
        </w:tc>
        <w:tc>
          <w:tcPr>
            <w:tcW w:w="3730" w:type="dxa"/>
            <w:shd w:val="clear" w:color="auto" w:fill="auto"/>
          </w:tcPr>
          <w:p>
            <w:pPr>
              <w:spacing w:line="400" w:lineRule="exact"/>
              <w:rPr>
                <w:sz w:val="24"/>
              </w:rPr>
            </w:pPr>
            <w:r>
              <w:rPr>
                <w:rFonts w:hint="eastAsia"/>
                <w:sz w:val="24"/>
              </w:rPr>
              <w:t>各小组内部讨论，展开案例信息搜集和税收筹划工作、撰写筹划报告并制作PPT</w:t>
            </w:r>
          </w:p>
        </w:tc>
        <w:tc>
          <w:tcPr>
            <w:tcW w:w="2841" w:type="dxa"/>
            <w:shd w:val="clear" w:color="auto" w:fill="auto"/>
          </w:tcPr>
          <w:p>
            <w:pPr>
              <w:spacing w:line="400" w:lineRule="exact"/>
              <w:rPr>
                <w:sz w:val="24"/>
              </w:rPr>
            </w:pPr>
            <w:r>
              <w:rPr>
                <w:rFonts w:hint="eastAsia"/>
                <w:sz w:val="24"/>
              </w:rPr>
              <w:t>各组组长记录组员的工作内容，活动结束后依组员贡献给出平时分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第二十周周二</w:t>
            </w:r>
          </w:p>
        </w:tc>
        <w:tc>
          <w:tcPr>
            <w:tcW w:w="3730" w:type="dxa"/>
            <w:shd w:val="clear" w:color="auto" w:fill="auto"/>
          </w:tcPr>
          <w:p>
            <w:pPr>
              <w:spacing w:line="400" w:lineRule="exact"/>
              <w:rPr>
                <w:sz w:val="24"/>
              </w:rPr>
            </w:pPr>
            <w:r>
              <w:rPr>
                <w:rFonts w:hint="eastAsia"/>
                <w:sz w:val="24"/>
              </w:rPr>
              <w:t>由各组长向指导老师递交电子版筹划报告和PPT</w:t>
            </w:r>
          </w:p>
        </w:tc>
        <w:tc>
          <w:tcPr>
            <w:tcW w:w="2841" w:type="dxa"/>
            <w:shd w:val="clear" w:color="auto" w:fill="auto"/>
          </w:tcPr>
          <w:p>
            <w:pPr>
              <w:spacing w:line="400" w:lineRule="exact"/>
              <w:rPr>
                <w:sz w:val="24"/>
              </w:rPr>
            </w:pPr>
            <w:r>
              <w:rPr>
                <w:rFonts w:hint="eastAsia"/>
                <w:sz w:val="24"/>
              </w:rPr>
              <w:t>未按时递交会在一定程度上影响初赛成绩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第二十周周三</w:t>
            </w:r>
          </w:p>
        </w:tc>
        <w:tc>
          <w:tcPr>
            <w:tcW w:w="3730" w:type="dxa"/>
            <w:shd w:val="clear" w:color="auto" w:fill="auto"/>
          </w:tcPr>
          <w:p>
            <w:pPr>
              <w:spacing w:line="400" w:lineRule="exact"/>
              <w:rPr>
                <w:sz w:val="24"/>
              </w:rPr>
            </w:pPr>
            <w:r>
              <w:rPr>
                <w:rFonts w:hint="eastAsia"/>
                <w:sz w:val="24"/>
              </w:rPr>
              <w:t>初赛</w:t>
            </w:r>
          </w:p>
        </w:tc>
        <w:tc>
          <w:tcPr>
            <w:tcW w:w="2841" w:type="dxa"/>
            <w:shd w:val="clear" w:color="auto" w:fill="auto"/>
          </w:tcPr>
          <w:p>
            <w:pPr>
              <w:spacing w:line="400" w:lineRule="exact"/>
              <w:rPr>
                <w:sz w:val="24"/>
              </w:rPr>
            </w:pPr>
            <w:r>
              <w:rPr>
                <w:rFonts w:hint="eastAsia"/>
                <w:sz w:val="24"/>
              </w:rPr>
              <w:t>出席情况记入考勤分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spacing w:line="400" w:lineRule="exact"/>
              <w:rPr>
                <w:sz w:val="24"/>
              </w:rPr>
            </w:pPr>
            <w:r>
              <w:rPr>
                <w:rFonts w:hint="eastAsia"/>
                <w:sz w:val="24"/>
              </w:rPr>
              <w:t>第二十周周五</w:t>
            </w:r>
          </w:p>
        </w:tc>
        <w:tc>
          <w:tcPr>
            <w:tcW w:w="3730" w:type="dxa"/>
            <w:shd w:val="clear" w:color="auto" w:fill="auto"/>
          </w:tcPr>
          <w:p>
            <w:pPr>
              <w:spacing w:line="400" w:lineRule="exact"/>
              <w:rPr>
                <w:sz w:val="24"/>
              </w:rPr>
            </w:pPr>
            <w:r>
              <w:rPr>
                <w:rFonts w:hint="eastAsia"/>
                <w:sz w:val="24"/>
              </w:rPr>
              <w:t>决赛</w:t>
            </w:r>
          </w:p>
        </w:tc>
        <w:tc>
          <w:tcPr>
            <w:tcW w:w="2841" w:type="dxa"/>
            <w:shd w:val="clear" w:color="auto" w:fill="auto"/>
          </w:tcPr>
          <w:p>
            <w:pPr>
              <w:spacing w:line="400" w:lineRule="exact"/>
              <w:rPr>
                <w:sz w:val="24"/>
              </w:rPr>
            </w:pPr>
          </w:p>
        </w:tc>
      </w:tr>
    </w:tbl>
    <w:p>
      <w:pPr>
        <w:spacing w:line="400" w:lineRule="exact"/>
        <w:ind w:firstLine="480" w:firstLineChars="200"/>
        <w:rPr>
          <w:sz w:val="24"/>
        </w:rPr>
      </w:pPr>
      <w:r>
        <w:rPr>
          <w:rFonts w:hint="eastAsia"/>
          <w:sz w:val="24"/>
        </w:rPr>
        <w:t>5.初赛和决赛的具体流程参见《税收筹划大赛比赛流程》。</w:t>
      </w:r>
    </w:p>
    <w:p>
      <w:pPr>
        <w:spacing w:line="400" w:lineRule="exact"/>
        <w:ind w:firstLine="480" w:firstLineChars="200"/>
        <w:rPr>
          <w:rFonts w:hint="eastAsia"/>
          <w:sz w:val="24"/>
        </w:rPr>
      </w:pPr>
      <w:r>
        <w:rPr>
          <w:rFonts w:hint="eastAsia"/>
          <w:sz w:val="24"/>
        </w:rPr>
        <w:t>6.决赛中胜出的队伍将被颁发获奖证书，并得到奖金奖励。一等奖一组、二等奖两组、三等奖四组。</w:t>
      </w:r>
    </w:p>
    <w:p>
      <w:pPr>
        <w:spacing w:line="400" w:lineRule="exact"/>
        <w:ind w:firstLine="480" w:firstLineChars="200"/>
        <w:rPr>
          <w:rFonts w:hint="eastAsia"/>
          <w:sz w:val="24"/>
        </w:rPr>
      </w:pPr>
    </w:p>
    <w:p>
      <w:pPr>
        <w:spacing w:line="400" w:lineRule="exact"/>
        <w:ind w:firstLine="480" w:firstLineChars="200"/>
        <w:rPr>
          <w:rFonts w:hint="eastAsia"/>
          <w:sz w:val="24"/>
        </w:rPr>
      </w:pPr>
      <w:bookmarkStart w:id="0" w:name="_GoBack"/>
      <w:bookmarkEnd w:id="0"/>
    </w:p>
    <w:p>
      <w:pPr>
        <w:spacing w:line="400" w:lineRule="exact"/>
        <w:ind w:firstLine="480" w:firstLineChars="200"/>
        <w:rPr>
          <w:sz w:val="24"/>
        </w:rPr>
      </w:pPr>
      <w:r>
        <w:rPr>
          <w:rFonts w:hint="eastAsia"/>
          <w:sz w:val="24"/>
        </w:rPr>
        <w:t>7.学生本次实践（教学实践</w:t>
      </w:r>
      <w:r>
        <w:rPr>
          <w:rFonts w:hint="eastAsia" w:ascii="宋体" w:hAnsi="宋体"/>
          <w:sz w:val="24"/>
        </w:rPr>
        <w:t>Ⅲ</w:t>
      </w:r>
      <w:r>
        <w:rPr>
          <w:rFonts w:hint="eastAsia"/>
          <w:sz w:val="24"/>
        </w:rPr>
        <w:t>：税收筹划大赛）的成绩构成如下：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851"/>
        <w:gridCol w:w="5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76" w:type="dxa"/>
            <w:shd w:val="clear" w:color="auto" w:fill="auto"/>
          </w:tcPr>
          <w:p>
            <w:pPr>
              <w:spacing w:line="400" w:lineRule="exact"/>
              <w:rPr>
                <w:sz w:val="24"/>
              </w:rPr>
            </w:pPr>
            <w:r>
              <w:rPr>
                <w:rFonts w:hint="eastAsia"/>
                <w:sz w:val="24"/>
              </w:rPr>
              <w:t>考勤</w:t>
            </w:r>
          </w:p>
        </w:tc>
        <w:tc>
          <w:tcPr>
            <w:tcW w:w="851" w:type="dxa"/>
            <w:shd w:val="clear" w:color="auto" w:fill="auto"/>
          </w:tcPr>
          <w:p>
            <w:pPr>
              <w:spacing w:line="400" w:lineRule="exact"/>
              <w:rPr>
                <w:sz w:val="24"/>
              </w:rPr>
            </w:pPr>
            <w:r>
              <w:rPr>
                <w:rFonts w:hint="eastAsia"/>
                <w:sz w:val="24"/>
              </w:rPr>
              <w:t>10%</w:t>
            </w:r>
          </w:p>
        </w:tc>
        <w:tc>
          <w:tcPr>
            <w:tcW w:w="5295" w:type="dxa"/>
            <w:shd w:val="clear" w:color="auto" w:fill="auto"/>
          </w:tcPr>
          <w:p>
            <w:pPr>
              <w:spacing w:line="400" w:lineRule="exact"/>
              <w:rPr>
                <w:sz w:val="24"/>
              </w:rPr>
            </w:pPr>
            <w:r>
              <w:rPr>
                <w:rFonts w:hint="eastAsia"/>
                <w:sz w:val="24"/>
              </w:rPr>
              <w:t>根据指导老师见面会和初赛的出勤情况进行考核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76" w:type="dxa"/>
            <w:shd w:val="clear" w:color="auto" w:fill="auto"/>
          </w:tcPr>
          <w:p>
            <w:pPr>
              <w:spacing w:line="400" w:lineRule="exact"/>
              <w:rPr>
                <w:sz w:val="24"/>
              </w:rPr>
            </w:pPr>
            <w:r>
              <w:rPr>
                <w:rFonts w:hint="eastAsia"/>
                <w:sz w:val="24"/>
              </w:rPr>
              <w:t>平时</w:t>
            </w:r>
          </w:p>
        </w:tc>
        <w:tc>
          <w:tcPr>
            <w:tcW w:w="851" w:type="dxa"/>
            <w:shd w:val="clear" w:color="auto" w:fill="auto"/>
          </w:tcPr>
          <w:p>
            <w:pPr>
              <w:spacing w:line="400" w:lineRule="exact"/>
              <w:rPr>
                <w:sz w:val="24"/>
              </w:rPr>
            </w:pPr>
            <w:r>
              <w:rPr>
                <w:rFonts w:hint="eastAsia"/>
                <w:sz w:val="24"/>
              </w:rPr>
              <w:t>30%</w:t>
            </w:r>
          </w:p>
        </w:tc>
        <w:tc>
          <w:tcPr>
            <w:tcW w:w="5295" w:type="dxa"/>
            <w:shd w:val="clear" w:color="auto" w:fill="auto"/>
          </w:tcPr>
          <w:p>
            <w:pPr>
              <w:spacing w:line="400" w:lineRule="exact"/>
              <w:rPr>
                <w:sz w:val="24"/>
              </w:rPr>
            </w:pPr>
            <w:r>
              <w:rPr>
                <w:rFonts w:hint="eastAsia"/>
                <w:sz w:val="24"/>
              </w:rPr>
              <w:t>由各小组组长根据组员贡献打分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76" w:type="dxa"/>
            <w:shd w:val="clear" w:color="auto" w:fill="auto"/>
          </w:tcPr>
          <w:p>
            <w:pPr>
              <w:spacing w:line="400" w:lineRule="exact"/>
              <w:rPr>
                <w:sz w:val="24"/>
              </w:rPr>
            </w:pPr>
            <w:r>
              <w:rPr>
                <w:rFonts w:hint="eastAsia"/>
                <w:sz w:val="24"/>
              </w:rPr>
              <w:t>筹划方案报告和演示</w:t>
            </w:r>
          </w:p>
        </w:tc>
        <w:tc>
          <w:tcPr>
            <w:tcW w:w="851" w:type="dxa"/>
            <w:shd w:val="clear" w:color="auto" w:fill="auto"/>
          </w:tcPr>
          <w:p>
            <w:pPr>
              <w:spacing w:line="400" w:lineRule="exact"/>
              <w:rPr>
                <w:sz w:val="24"/>
              </w:rPr>
            </w:pPr>
            <w:r>
              <w:rPr>
                <w:rFonts w:hint="eastAsia"/>
                <w:sz w:val="24"/>
              </w:rPr>
              <w:t>60%</w:t>
            </w:r>
          </w:p>
        </w:tc>
        <w:tc>
          <w:tcPr>
            <w:tcW w:w="5295" w:type="dxa"/>
            <w:shd w:val="clear" w:color="auto" w:fill="auto"/>
          </w:tcPr>
          <w:p>
            <w:pPr>
              <w:spacing w:line="400" w:lineRule="exact"/>
              <w:rPr>
                <w:sz w:val="24"/>
              </w:rPr>
            </w:pPr>
            <w:r>
              <w:rPr>
                <w:rFonts w:hint="eastAsia"/>
                <w:sz w:val="24"/>
              </w:rPr>
              <w:t>以所在小组初赛最终成绩为准</w:t>
            </w:r>
          </w:p>
        </w:tc>
      </w:tr>
    </w:tbl>
    <w:p>
      <w:pPr>
        <w:spacing w:line="400" w:lineRule="exact"/>
        <w:ind w:firstLine="420"/>
        <w:rPr>
          <w:sz w:val="24"/>
        </w:rPr>
      </w:pPr>
      <w:r>
        <w:rPr>
          <w:rFonts w:hint="eastAsia"/>
          <w:sz w:val="24"/>
        </w:rPr>
        <w:t>8.指导老师应在第二十周周二收取所指导小组的电子版税收筹划报告和PPT，并在初赛当天赛前收取每组的纸版税收筹划报告，并在报告封面填写成绩（即初赛中最终得分）。实践周结束前统计学生出勤、平时成绩、初赛成绩，并在系统中录入，另需要上交的材料至少包括：（1）每组纸版税收筹划报告；（2）进入决赛的队伍的电子版筹划报告和PPT。具体要求以届时的相关通知为准。</w:t>
      </w:r>
    </w:p>
    <w:p>
      <w:pPr>
        <w:spacing w:line="400" w:lineRule="exact"/>
        <w:ind w:firstLine="420"/>
        <w:rPr>
          <w:bCs/>
          <w:sz w:val="24"/>
        </w:rPr>
      </w:pPr>
    </w:p>
    <w:p>
      <w:pPr>
        <w:rPr>
          <w:b/>
        </w:rPr>
      </w:pPr>
      <w:r>
        <w:rPr>
          <w:rFonts w:hint="eastAsia"/>
        </w:rPr>
        <w:t xml:space="preserve">                                                               </w:t>
      </w:r>
      <w:r>
        <w:rPr>
          <w:rFonts w:hint="eastAsia"/>
          <w:b/>
        </w:rPr>
        <w:t>20</w:t>
      </w:r>
      <w:r>
        <w:rPr>
          <w:b/>
        </w:rPr>
        <w:t>2</w:t>
      </w:r>
      <w:r>
        <w:rPr>
          <w:rFonts w:hint="eastAsia"/>
          <w:b/>
        </w:rPr>
        <w:t>2年6月</w:t>
      </w:r>
      <w:r>
        <w:rPr>
          <w:b/>
        </w:rPr>
        <w:t>2</w:t>
      </w:r>
      <w:r>
        <w:rPr>
          <w:rFonts w:hint="eastAsia"/>
          <w:b/>
        </w:rPr>
        <w:t xml:space="preserve">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lZWFiNWZiZTExMWMyOWE0OGM2YjcwZGUyNzc0NTcifQ=="/>
  </w:docVars>
  <w:rsids>
    <w:rsidRoot w:val="00C25A3A"/>
    <w:rsid w:val="00057489"/>
    <w:rsid w:val="00072D31"/>
    <w:rsid w:val="00124DA2"/>
    <w:rsid w:val="00165168"/>
    <w:rsid w:val="001C3E94"/>
    <w:rsid w:val="001D1C9C"/>
    <w:rsid w:val="002650EB"/>
    <w:rsid w:val="002B2F12"/>
    <w:rsid w:val="00364CD7"/>
    <w:rsid w:val="003655BA"/>
    <w:rsid w:val="003B3BA9"/>
    <w:rsid w:val="003C0891"/>
    <w:rsid w:val="003C72ED"/>
    <w:rsid w:val="003E24BC"/>
    <w:rsid w:val="003E3551"/>
    <w:rsid w:val="004569D2"/>
    <w:rsid w:val="004900A8"/>
    <w:rsid w:val="004A44E3"/>
    <w:rsid w:val="00561948"/>
    <w:rsid w:val="005D5E2F"/>
    <w:rsid w:val="00607568"/>
    <w:rsid w:val="006204E8"/>
    <w:rsid w:val="00623A8E"/>
    <w:rsid w:val="006652ED"/>
    <w:rsid w:val="00673ACF"/>
    <w:rsid w:val="006D57B9"/>
    <w:rsid w:val="00711CE4"/>
    <w:rsid w:val="007F1316"/>
    <w:rsid w:val="0082521C"/>
    <w:rsid w:val="00842F08"/>
    <w:rsid w:val="00854EA3"/>
    <w:rsid w:val="00874D7F"/>
    <w:rsid w:val="00941740"/>
    <w:rsid w:val="0095566C"/>
    <w:rsid w:val="00964318"/>
    <w:rsid w:val="009A7678"/>
    <w:rsid w:val="009C39E0"/>
    <w:rsid w:val="00A01A0D"/>
    <w:rsid w:val="00A5237F"/>
    <w:rsid w:val="00AC2022"/>
    <w:rsid w:val="00B02894"/>
    <w:rsid w:val="00B15A1F"/>
    <w:rsid w:val="00B976C2"/>
    <w:rsid w:val="00BA6516"/>
    <w:rsid w:val="00BC596C"/>
    <w:rsid w:val="00BD78C0"/>
    <w:rsid w:val="00BE0359"/>
    <w:rsid w:val="00BF47D3"/>
    <w:rsid w:val="00C25A3A"/>
    <w:rsid w:val="00C67DA3"/>
    <w:rsid w:val="00CC11D3"/>
    <w:rsid w:val="00D62734"/>
    <w:rsid w:val="00DB5E46"/>
    <w:rsid w:val="00E50E4A"/>
    <w:rsid w:val="00E72576"/>
    <w:rsid w:val="00EF0E6E"/>
    <w:rsid w:val="00F31FF7"/>
    <w:rsid w:val="00F443DF"/>
    <w:rsid w:val="00F52755"/>
    <w:rsid w:val="00F562E7"/>
    <w:rsid w:val="00F758B6"/>
    <w:rsid w:val="00F92E1B"/>
    <w:rsid w:val="00F97714"/>
    <w:rsid w:val="00FB0354"/>
    <w:rsid w:val="195C34EC"/>
    <w:rsid w:val="504D10AE"/>
    <w:rsid w:val="6C516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link w:val="4"/>
    <w:uiPriority w:val="0"/>
    <w:rPr>
      <w:kern w:val="2"/>
      <w:sz w:val="18"/>
      <w:szCs w:val="18"/>
    </w:rPr>
  </w:style>
  <w:style w:type="character" w:customStyle="1" w:styleId="9">
    <w:name w:val="页脚 Char"/>
    <w:link w:val="3"/>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Pages>
  <Words>959</Words>
  <Characters>987</Characters>
  <Lines>1</Lines>
  <Paragraphs>2</Paragraphs>
  <TotalTime>3</TotalTime>
  <ScaleCrop>false</ScaleCrop>
  <LinksUpToDate>false</LinksUpToDate>
  <CharactersWithSpaces>1054</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2022-06-02T04:15:00Z</dcterms:created>
  <dc:creator>AIR</dc:creator>
  <cp:lastModifiedBy>芋头</cp:lastModifiedBy>
  <cp:lastPrinted>2017-06-14T02:16:00Z</cp:lastPrinted>
  <dcterms:modified xsi:type="dcterms:W3CDTF">2022-06-20T05:39:08Z</dcterms:modified>
  <dc:title>国际经济贸易系一年级学生《社会调查》实施细则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0B10CEF31D294FB2954C1000FA72DB9A</vt:lpwstr>
  </property>
</Properties>
</file>