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left="0" w:leftChars="0" w:firstLine="602" w:firstLineChars="200"/>
        <w:jc w:val="center"/>
        <w:textAlignment w:val="auto"/>
        <w:rPr>
          <w:rFonts w:hint="eastAsia" w:ascii="宋体" w:hAnsi="宋体" w:eastAsia="宋体" w:cs="宋体"/>
          <w:b/>
          <w:sz w:val="30"/>
          <w:szCs w:val="30"/>
        </w:rPr>
      </w:pPr>
      <w:r>
        <w:rPr>
          <w:rFonts w:hint="eastAsia" w:ascii="宋体" w:hAnsi="宋体" w:eastAsia="宋体" w:cs="宋体"/>
          <w:b/>
          <w:sz w:val="30"/>
          <w:szCs w:val="30"/>
        </w:rPr>
        <w:t>会计与金融学院（SAF）资产配置大赛</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02" w:firstLineChars="200"/>
        <w:jc w:val="center"/>
        <w:textAlignment w:val="auto"/>
        <w:rPr>
          <w:rFonts w:hint="eastAsia" w:ascii="宋体" w:hAnsi="宋体" w:eastAsia="宋体" w:cs="宋体"/>
        </w:rPr>
      </w:pPr>
      <w:r>
        <w:rPr>
          <w:rFonts w:hint="eastAsia" w:ascii="宋体" w:hAnsi="宋体" w:eastAsia="宋体" w:cs="宋体"/>
          <w:b/>
          <w:sz w:val="30"/>
          <w:szCs w:val="30"/>
        </w:rPr>
        <w:t>实施细则</w:t>
      </w:r>
    </w:p>
    <w:p>
      <w:pPr>
        <w:pStyle w:val="12"/>
        <w:keepNext w:val="0"/>
        <w:keepLines w:val="0"/>
        <w:pageBreakBefore w:val="0"/>
        <w:numPr>
          <w:ilvl w:val="0"/>
          <w:numId w:val="1"/>
        </w:numPr>
        <w:kinsoku/>
        <w:overflowPunct/>
        <w:topLinePunct w:val="0"/>
        <w:bidi w:val="0"/>
        <w:snapToGrid/>
        <w:spacing w:line="440" w:lineRule="exact"/>
        <w:ind w:left="0" w:leftChars="0" w:firstLine="482" w:firstLineChars="200"/>
        <w:textAlignment w:val="auto"/>
        <w:rPr>
          <w:rFonts w:hint="eastAsia" w:ascii="宋体" w:hAnsi="宋体" w:eastAsia="宋体" w:cs="宋体"/>
          <w:b/>
          <w:sz w:val="24"/>
        </w:rPr>
      </w:pPr>
      <w:r>
        <w:rPr>
          <w:rFonts w:hint="eastAsia" w:ascii="宋体" w:hAnsi="宋体" w:eastAsia="宋体" w:cs="宋体"/>
          <w:b/>
          <w:sz w:val="24"/>
        </w:rPr>
        <w:t>活动简介</w:t>
      </w:r>
    </w:p>
    <w:p>
      <w:pPr>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教学实践III：金融产品创意与资产配置(资产配置大赛)》课程属于会计与金融学院为推进厦门大学嘉庚学院应用型人才培养目标，而在实践周开设的实践类课程。改革开放40年，我国国民财富迎来了爆发的时代。然而，当前国内投资者对资产配置的重视程度和专业能力不足，已成为我国财富管理亟待解决的难题。该课程旨在培养财经类专业学生资产配置的基本技能，并将课程考核和专业竞赛两种模式有机融合在一起，在提高学生发现、分析、研究和解决经济金融问题的综合能力的同时，极大激发学生的参与热情，以更好地提高实践周教学效果。</w:t>
      </w:r>
    </w:p>
    <w:p>
      <w:pPr>
        <w:pStyle w:val="14"/>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color w:val="auto"/>
          <w:kern w:val="2"/>
        </w:rPr>
      </w:pPr>
      <w:r>
        <w:rPr>
          <w:rFonts w:hint="eastAsia" w:ascii="宋体" w:hAnsi="宋体" w:eastAsia="宋体" w:cs="宋体"/>
          <w:color w:val="auto"/>
        </w:rPr>
        <w:t>各参赛队以</w:t>
      </w:r>
      <w:r>
        <w:rPr>
          <w:rFonts w:hint="eastAsia" w:ascii="宋体" w:hAnsi="宋体" w:eastAsia="宋体" w:cs="宋体"/>
          <w:color w:val="auto"/>
        </w:rPr>
        <w:t>金融投资</w:t>
      </w:r>
      <w:r>
        <w:rPr>
          <w:rFonts w:hint="eastAsia" w:ascii="宋体" w:hAnsi="宋体" w:eastAsia="宋体" w:cs="宋体"/>
          <w:color w:val="auto"/>
          <w:kern w:val="2"/>
        </w:rPr>
        <w:t>顾问的身份，基于</w:t>
      </w:r>
      <w:r>
        <w:rPr>
          <w:rFonts w:hint="eastAsia" w:ascii="宋体" w:hAnsi="宋体" w:eastAsia="宋体" w:cs="宋体"/>
          <w:color w:val="auto"/>
          <w:kern w:val="2"/>
        </w:rPr>
        <w:t>最近一年的财富管理机构年报资料研究其资产配置策略，参考相关策略制定资产配置计划，利用CSMAR</w:t>
      </w:r>
      <w:r>
        <w:rPr>
          <w:rFonts w:hint="eastAsia" w:ascii="宋体" w:hAnsi="宋体" w:eastAsia="宋体" w:cs="宋体"/>
          <w:color w:val="auto"/>
          <w:kern w:val="2"/>
          <w:lang w:val="en-US" w:eastAsia="zh-CN"/>
        </w:rPr>
        <w:t>证券投资实训系统</w:t>
      </w:r>
      <w:r>
        <w:rPr>
          <w:rFonts w:hint="eastAsia" w:ascii="宋体" w:hAnsi="宋体" w:eastAsia="宋体" w:cs="宋体"/>
          <w:color w:val="auto"/>
          <w:kern w:val="2"/>
        </w:rPr>
        <w:t>参与资产配置大赛，结合实时行情变化调整资产配置策略，最终形成一份《资产配置策略分析报告》。</w:t>
      </w:r>
      <w:r>
        <w:rPr>
          <w:rFonts w:hint="eastAsia" w:ascii="宋体" w:hAnsi="宋体" w:eastAsia="宋体" w:cs="宋体"/>
          <w:color w:val="auto"/>
          <w:kern w:val="2"/>
        </w:rPr>
        <w:t>参赛团队将要进行10</w:t>
      </w:r>
      <w:r>
        <w:rPr>
          <w:rFonts w:hint="eastAsia" w:ascii="宋体" w:hAnsi="宋体" w:eastAsia="宋体" w:cs="宋体"/>
          <w:color w:val="auto"/>
          <w:kern w:val="2"/>
        </w:rPr>
        <w:t>分钟PPT策略陈述与</w:t>
      </w:r>
      <w:r>
        <w:rPr>
          <w:rFonts w:hint="eastAsia" w:ascii="宋体" w:hAnsi="宋体" w:eastAsia="宋体" w:cs="宋体"/>
          <w:color w:val="auto"/>
          <w:kern w:val="2"/>
        </w:rPr>
        <w:t>5</w:t>
      </w:r>
      <w:r>
        <w:rPr>
          <w:rFonts w:hint="eastAsia" w:ascii="宋体" w:hAnsi="宋体" w:eastAsia="宋体" w:cs="宋体"/>
          <w:color w:val="auto"/>
          <w:kern w:val="2"/>
        </w:rPr>
        <w:t>分钟现场答辩，主要考核选手应用金融投资工具进行资产配置和为客户提供财富管理咨询的综合能力。</w:t>
      </w:r>
    </w:p>
    <w:p>
      <w:pPr>
        <w:pStyle w:val="12"/>
        <w:keepNext w:val="0"/>
        <w:keepLines w:val="0"/>
        <w:pageBreakBefore w:val="0"/>
        <w:numPr>
          <w:ilvl w:val="0"/>
          <w:numId w:val="1"/>
        </w:numPr>
        <w:kinsoku/>
        <w:overflowPunct/>
        <w:topLinePunct w:val="0"/>
        <w:bidi w:val="0"/>
        <w:snapToGrid/>
        <w:spacing w:line="440" w:lineRule="exact"/>
        <w:ind w:left="0" w:leftChars="0" w:firstLine="482" w:firstLineChars="200"/>
        <w:textAlignment w:val="auto"/>
        <w:rPr>
          <w:rFonts w:hint="eastAsia" w:ascii="宋体" w:hAnsi="宋体" w:eastAsia="宋体" w:cs="宋体"/>
          <w:b/>
          <w:sz w:val="24"/>
        </w:rPr>
      </w:pPr>
      <w:r>
        <w:rPr>
          <w:rFonts w:hint="eastAsia" w:ascii="宋体" w:hAnsi="宋体" w:eastAsia="宋体" w:cs="宋体"/>
          <w:b/>
          <w:sz w:val="24"/>
        </w:rPr>
        <w:t>活动日程安排清单（共计2周时间）</w:t>
      </w:r>
    </w:p>
    <w:p>
      <w:pPr>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（1）实践周第一周的周一：指导教师与学生沟通，确定学生分组，由组长填写《集中实习小组成员表》交给指导老师，由指导老师说明后续具体实习安排，指导学生熟悉CSMAR</w:t>
      </w:r>
      <w:r>
        <w:rPr>
          <w:rFonts w:hint="eastAsia" w:ascii="宋体" w:hAnsi="宋体" w:eastAsia="宋体" w:cs="宋体"/>
          <w:sz w:val="24"/>
          <w:lang w:val="en-US" w:eastAsia="zh-CN"/>
        </w:rPr>
        <w:t>证券投资实训系统</w:t>
      </w:r>
      <w:r>
        <w:rPr>
          <w:rFonts w:hint="eastAsia" w:ascii="宋体" w:hAnsi="宋体" w:eastAsia="宋体" w:cs="宋体"/>
          <w:sz w:val="24"/>
        </w:rPr>
        <w:t>操作流程，掌握资产配置的主要策略及业绩评测指标。（大赛平台开放时间为：6月2</w:t>
      </w:r>
      <w:r>
        <w:rPr>
          <w:rFonts w:hint="eastAsia" w:ascii="宋体" w:hAnsi="宋体" w:eastAsia="宋体" w:cs="宋体"/>
          <w:sz w:val="24"/>
          <w:lang w:val="en-US" w:eastAsia="zh-CN"/>
        </w:rPr>
        <w:t>6</w:t>
      </w:r>
      <w:r>
        <w:rPr>
          <w:rFonts w:hint="eastAsia" w:ascii="宋体" w:hAnsi="宋体" w:eastAsia="宋体" w:cs="宋体"/>
          <w:sz w:val="24"/>
        </w:rPr>
        <w:t>日-7月</w:t>
      </w:r>
      <w:r>
        <w:rPr>
          <w:rFonts w:hint="eastAsia" w:ascii="宋体" w:hAnsi="宋体" w:eastAsia="宋体" w:cs="宋体"/>
          <w:sz w:val="24"/>
          <w:lang w:val="en-US" w:eastAsia="zh-CN"/>
        </w:rPr>
        <w:t>7</w:t>
      </w:r>
      <w:r>
        <w:rPr>
          <w:rFonts w:hint="eastAsia" w:ascii="宋体" w:hAnsi="宋体" w:eastAsia="宋体" w:cs="宋体"/>
          <w:sz w:val="24"/>
        </w:rPr>
        <w:t>日）</w:t>
      </w:r>
      <w:r>
        <w:rPr>
          <w:rFonts w:hint="eastAsia" w:ascii="宋体" w:hAnsi="宋体" w:eastAsia="宋体" w:cs="宋体"/>
          <w:b/>
          <w:bCs/>
          <w:sz w:val="24"/>
        </w:rPr>
        <w:t>（分组表提交要求：1、请务必按附件1格式提交以方便后期统计，不符合此格式的无效！！</w:t>
      </w:r>
      <w:r>
        <w:rPr>
          <w:rFonts w:hint="eastAsia" w:ascii="宋体" w:hAnsi="宋体" w:eastAsia="宋体" w:cs="宋体"/>
          <w:b/>
          <w:bCs/>
          <w:sz w:val="24"/>
        </w:rPr>
        <w:t>2</w:t>
      </w:r>
      <w:r>
        <w:rPr>
          <w:rFonts w:hint="eastAsia" w:ascii="宋体" w:hAnsi="宋体" w:eastAsia="宋体" w:cs="宋体"/>
          <w:b/>
          <w:bCs/>
          <w:sz w:val="24"/>
        </w:rPr>
        <w:t>、每组自行取一个团队名字，每组成员控制在</w:t>
      </w:r>
      <w:r>
        <w:rPr>
          <w:rFonts w:hint="eastAsia" w:ascii="宋体" w:hAnsi="宋体" w:eastAsia="宋体" w:cs="宋体"/>
          <w:b/>
          <w:bCs/>
          <w:sz w:val="24"/>
        </w:rPr>
        <w:t>4-5</w:t>
      </w:r>
      <w:r>
        <w:rPr>
          <w:rFonts w:hint="eastAsia" w:ascii="宋体" w:hAnsi="宋体" w:eastAsia="宋体" w:cs="宋体"/>
          <w:b/>
          <w:bCs/>
          <w:sz w:val="24"/>
        </w:rPr>
        <w:t>人之间！）</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2）第一周周二至第一周周五：学生开展网络或实地调研，收集资产配置案例及相关资料，拟定本组资产配置计划，结合调研反馈意见进行完善，同时在线参与资产组合模拟交易大赛进行实践，老师在线进行答疑辅导。</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（3）第二周周一</w:t>
      </w:r>
      <w:r>
        <w:rPr>
          <w:rFonts w:hint="eastAsia" w:ascii="宋体" w:hAnsi="宋体" w:eastAsia="宋体" w:cs="宋体"/>
          <w:sz w:val="24"/>
          <w:lang w:val="en-US" w:eastAsia="zh-CN"/>
        </w:rPr>
        <w:t>和</w:t>
      </w:r>
      <w:r>
        <w:rPr>
          <w:rFonts w:hint="eastAsia" w:ascii="宋体" w:hAnsi="宋体" w:eastAsia="宋体" w:cs="宋体"/>
          <w:sz w:val="24"/>
        </w:rPr>
        <w:t>周三：集中指导以完善策略，各组学生结合前期资料搜集整理和调研情况，完善资产配置策略分析报告；综合分析资产组合模拟交易大赛阶段性排名及实践演练情况，在教师指导下进一步调整资产配置策略并继续进行模拟交易。该期间课程主要安排在开盘时间，教师在实验室进行答疑辅导。</w:t>
      </w:r>
      <w:r>
        <w:rPr>
          <w:rFonts w:hint="eastAsia" w:ascii="宋体" w:hAnsi="宋体" w:eastAsia="宋体" w:cs="宋体"/>
          <w:sz w:val="24"/>
        </w:rPr>
        <w:t xml:space="preserve"> </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4）第二周周五：收集报告并举行公开赛，指导老师负责收齐学生的纸质版《资产配置策略分析报告》并统计学生平台模拟交易排名情况，评定成绩；抽签决定公开赛演讲顺序，每组选手利用10分钟对资产配置策略和收益进行宣讲，之后进行5分钟现场答辩，由评审组根据评分细则进行打分并公布结果，颁发奖状及奖金。</w:t>
      </w:r>
    </w:p>
    <w:p>
      <w:pPr>
        <w:pStyle w:val="12"/>
        <w:keepNext w:val="0"/>
        <w:keepLines w:val="0"/>
        <w:pageBreakBefore w:val="0"/>
        <w:numPr>
          <w:ilvl w:val="0"/>
          <w:numId w:val="1"/>
        </w:numPr>
        <w:kinsoku/>
        <w:overflowPunct/>
        <w:topLinePunct w:val="0"/>
        <w:bidi w:val="0"/>
        <w:snapToGrid/>
        <w:spacing w:line="440" w:lineRule="exact"/>
        <w:ind w:left="0" w:leftChars="0" w:firstLine="482" w:firstLineChars="200"/>
        <w:textAlignment w:val="auto"/>
        <w:rPr>
          <w:rFonts w:hint="eastAsia" w:ascii="宋体" w:hAnsi="宋体" w:eastAsia="宋体" w:cs="宋体"/>
          <w:b/>
          <w:sz w:val="24"/>
        </w:rPr>
      </w:pPr>
      <w:r>
        <w:rPr>
          <w:rFonts w:hint="eastAsia" w:ascii="宋体" w:hAnsi="宋体" w:eastAsia="宋体" w:cs="宋体"/>
          <w:b/>
          <w:sz w:val="24"/>
        </w:rPr>
        <w:t>关于课程考核成绩的评定与录入</w:t>
      </w:r>
    </w:p>
    <w:p>
      <w:pPr>
        <w:pStyle w:val="12"/>
        <w:keepNext w:val="0"/>
        <w:keepLines w:val="0"/>
        <w:pageBreakBefore w:val="0"/>
        <w:numPr>
          <w:ilvl w:val="0"/>
          <w:numId w:val="2"/>
        </w:numPr>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成绩比例构成</w:t>
      </w:r>
    </w:p>
    <w:p>
      <w:pPr>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参照《教学实践Ⅲ：金融产品创意与资产配置》课程教学大纲，该课程的考核成绩构成如下：</w:t>
      </w:r>
    </w:p>
    <w:tbl>
      <w:tblPr>
        <w:tblStyle w:val="7"/>
        <w:tblW w:w="51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128"/>
        <w:gridCol w:w="3073"/>
        <w:gridCol w:w="1106"/>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62" w:type="pct"/>
            <w:vAlign w:val="center"/>
          </w:tcPr>
          <w:p>
            <w:pPr>
              <w:keepNext w:val="0"/>
              <w:keepLines w:val="0"/>
              <w:pageBreakBefore w:val="0"/>
              <w:kinsoku/>
              <w:overflowPunct/>
              <w:topLinePunct w:val="0"/>
              <w:bidi w:val="0"/>
              <w:snapToGrid/>
              <w:spacing w:line="240" w:lineRule="auto"/>
              <w:jc w:val="both"/>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640" w:type="pct"/>
            <w:vAlign w:val="center"/>
          </w:tcPr>
          <w:p>
            <w:pPr>
              <w:keepNext w:val="0"/>
              <w:keepLines w:val="0"/>
              <w:pageBreakBefore w:val="0"/>
              <w:kinsoku/>
              <w:overflowPunct/>
              <w:topLinePunct w:val="0"/>
              <w:bidi w:val="0"/>
              <w:snapToGrid/>
              <w:spacing w:line="240" w:lineRule="auto"/>
              <w:jc w:val="both"/>
              <w:textAlignment w:val="auto"/>
              <w:rPr>
                <w:rFonts w:hint="eastAsia" w:ascii="宋体" w:hAnsi="宋体" w:eastAsia="宋体" w:cs="宋体"/>
                <w:b/>
                <w:sz w:val="21"/>
                <w:szCs w:val="21"/>
              </w:rPr>
            </w:pPr>
            <w:r>
              <w:rPr>
                <w:rFonts w:hint="eastAsia" w:ascii="宋体" w:hAnsi="宋体" w:eastAsia="宋体" w:cs="宋体"/>
                <w:b/>
                <w:sz w:val="21"/>
                <w:szCs w:val="21"/>
              </w:rPr>
              <w:t>构成名称</w:t>
            </w:r>
          </w:p>
        </w:tc>
        <w:tc>
          <w:tcPr>
            <w:tcW w:w="1745" w:type="pct"/>
            <w:shd w:val="clear" w:color="auto" w:fill="auto"/>
            <w:vAlign w:val="center"/>
          </w:tcPr>
          <w:p>
            <w:pPr>
              <w:keepNext w:val="0"/>
              <w:keepLines w:val="0"/>
              <w:pageBreakBefore w:val="0"/>
              <w:kinsoku/>
              <w:overflowPunct/>
              <w:topLinePunct w:val="0"/>
              <w:bidi w:val="0"/>
              <w:snapToGrid/>
              <w:spacing w:line="240" w:lineRule="auto"/>
              <w:ind w:left="0" w:leftChars="0" w:firstLine="422" w:firstLineChars="200"/>
              <w:jc w:val="both"/>
              <w:textAlignment w:val="auto"/>
              <w:rPr>
                <w:rFonts w:hint="eastAsia" w:ascii="宋体" w:hAnsi="宋体" w:eastAsia="宋体" w:cs="宋体"/>
                <w:b/>
                <w:sz w:val="21"/>
                <w:szCs w:val="21"/>
              </w:rPr>
            </w:pPr>
            <w:r>
              <w:rPr>
                <w:rFonts w:hint="eastAsia" w:ascii="宋体" w:hAnsi="宋体" w:eastAsia="宋体" w:cs="宋体"/>
                <w:b/>
                <w:sz w:val="21"/>
                <w:szCs w:val="21"/>
              </w:rPr>
              <w:t>考核方式</w:t>
            </w:r>
          </w:p>
        </w:tc>
        <w:tc>
          <w:tcPr>
            <w:tcW w:w="628" w:type="pct"/>
            <w:shd w:val="clear" w:color="auto" w:fill="auto"/>
            <w:vAlign w:val="center"/>
          </w:tcPr>
          <w:p>
            <w:pPr>
              <w:keepNext w:val="0"/>
              <w:keepLines w:val="0"/>
              <w:pageBreakBefore w:val="0"/>
              <w:kinsoku/>
              <w:overflowPunct/>
              <w:topLinePunct w:val="0"/>
              <w:bidi w:val="0"/>
              <w:snapToGrid/>
              <w:spacing w:line="240" w:lineRule="auto"/>
              <w:jc w:val="both"/>
              <w:textAlignment w:val="auto"/>
              <w:rPr>
                <w:rFonts w:hint="eastAsia" w:ascii="宋体" w:hAnsi="宋体" w:eastAsia="宋体" w:cs="宋体"/>
                <w:b/>
                <w:sz w:val="21"/>
                <w:szCs w:val="21"/>
              </w:rPr>
            </w:pPr>
            <w:r>
              <w:rPr>
                <w:rFonts w:hint="eastAsia" w:ascii="宋体" w:hAnsi="宋体" w:eastAsia="宋体" w:cs="宋体"/>
                <w:b/>
                <w:sz w:val="21"/>
                <w:szCs w:val="21"/>
              </w:rPr>
              <w:t>成绩比例</w:t>
            </w:r>
          </w:p>
        </w:tc>
        <w:tc>
          <w:tcPr>
            <w:tcW w:w="1622" w:type="pct"/>
            <w:vAlign w:val="center"/>
          </w:tcPr>
          <w:p>
            <w:pPr>
              <w:keepNext w:val="0"/>
              <w:keepLines w:val="0"/>
              <w:pageBreakBefore w:val="0"/>
              <w:kinsoku/>
              <w:overflowPunct/>
              <w:topLinePunct w:val="0"/>
              <w:bidi w:val="0"/>
              <w:snapToGrid/>
              <w:spacing w:line="240" w:lineRule="auto"/>
              <w:ind w:left="0" w:leftChars="0" w:firstLine="422" w:firstLineChars="200"/>
              <w:jc w:val="center"/>
              <w:textAlignment w:val="auto"/>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62" w:type="pct"/>
            <w:vAlign w:val="center"/>
          </w:tcPr>
          <w:p>
            <w:pPr>
              <w:keepNext w:val="0"/>
              <w:keepLines w:val="0"/>
              <w:pageBreakBefore w:val="0"/>
              <w:kinsoku/>
              <w:overflowPunct/>
              <w:topLinePunct w:val="0"/>
              <w:bidi w:val="0"/>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640" w:type="pct"/>
            <w:vAlign w:val="center"/>
          </w:tcPr>
          <w:p>
            <w:pPr>
              <w:keepNext w:val="0"/>
              <w:keepLines w:val="0"/>
              <w:pageBreakBefore w:val="0"/>
              <w:kinsoku/>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出勤</w:t>
            </w:r>
          </w:p>
        </w:tc>
        <w:tc>
          <w:tcPr>
            <w:tcW w:w="1745" w:type="pct"/>
            <w:shd w:val="clear" w:color="auto" w:fill="auto"/>
            <w:vAlign w:val="center"/>
          </w:tcPr>
          <w:p>
            <w:pPr>
              <w:keepNext w:val="0"/>
              <w:keepLines w:val="0"/>
              <w:pageBreakBefore w:val="0"/>
              <w:kinsoku/>
              <w:overflowPunct/>
              <w:topLinePunct w:val="0"/>
              <w:bidi w:val="0"/>
              <w:snapToGrid/>
              <w:spacing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按照出勤情况</w:t>
            </w:r>
          </w:p>
        </w:tc>
        <w:tc>
          <w:tcPr>
            <w:tcW w:w="628" w:type="pct"/>
            <w:shd w:val="clear" w:color="auto" w:fill="auto"/>
            <w:vAlign w:val="center"/>
          </w:tcPr>
          <w:p>
            <w:pPr>
              <w:keepNext w:val="0"/>
              <w:keepLines w:val="0"/>
              <w:pageBreakBefore w:val="0"/>
              <w:kinsoku/>
              <w:overflowPunct/>
              <w:topLinePunct w:val="0"/>
              <w:bidi w:val="0"/>
              <w:snapToGrid/>
              <w:spacing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1622" w:type="pct"/>
            <w:vAlign w:val="center"/>
          </w:tcPr>
          <w:p>
            <w:pPr>
              <w:keepNext w:val="0"/>
              <w:keepLines w:val="0"/>
              <w:pageBreakBefore w:val="0"/>
              <w:kinsoku/>
              <w:overflowPunct/>
              <w:topLinePunct w:val="0"/>
              <w:bidi w:val="0"/>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根据指导老师见面会和出勤情况进行考核。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62" w:type="pct"/>
            <w:vAlign w:val="center"/>
          </w:tcPr>
          <w:p>
            <w:pPr>
              <w:keepNext w:val="0"/>
              <w:keepLines w:val="0"/>
              <w:pageBreakBefore w:val="0"/>
              <w:kinsoku/>
              <w:overflowPunct/>
              <w:topLinePunct w:val="0"/>
              <w:bidi w:val="0"/>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640" w:type="pct"/>
            <w:vAlign w:val="center"/>
          </w:tcPr>
          <w:p>
            <w:pPr>
              <w:keepNext w:val="0"/>
              <w:keepLines w:val="0"/>
              <w:pageBreakBefore w:val="0"/>
              <w:kinsoku/>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平时</w:t>
            </w:r>
          </w:p>
        </w:tc>
        <w:tc>
          <w:tcPr>
            <w:tcW w:w="1745" w:type="pct"/>
            <w:shd w:val="clear" w:color="auto" w:fill="auto"/>
            <w:vAlign w:val="center"/>
          </w:tcPr>
          <w:p>
            <w:pPr>
              <w:keepNext w:val="0"/>
              <w:keepLines w:val="0"/>
              <w:pageBreakBefore w:val="0"/>
              <w:kinsoku/>
              <w:overflowPunct/>
              <w:topLinePunct w:val="0"/>
              <w:bidi w:val="0"/>
              <w:snapToGrid/>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平时（资产组合模拟交易大赛）</w:t>
            </w:r>
          </w:p>
        </w:tc>
        <w:tc>
          <w:tcPr>
            <w:tcW w:w="628" w:type="pct"/>
            <w:shd w:val="clear" w:color="auto" w:fill="auto"/>
            <w:vAlign w:val="center"/>
          </w:tcPr>
          <w:p>
            <w:pPr>
              <w:keepNext w:val="0"/>
              <w:keepLines w:val="0"/>
              <w:pageBreakBefore w:val="0"/>
              <w:kinsoku/>
              <w:overflowPunct/>
              <w:topLinePunct w:val="0"/>
              <w:bidi w:val="0"/>
              <w:snapToGrid/>
              <w:spacing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40%</w:t>
            </w:r>
          </w:p>
        </w:tc>
        <w:tc>
          <w:tcPr>
            <w:tcW w:w="1622" w:type="pct"/>
            <w:vAlign w:val="center"/>
          </w:tcPr>
          <w:p>
            <w:pPr>
              <w:keepNext w:val="0"/>
              <w:keepLines w:val="0"/>
              <w:pageBreakBefore w:val="0"/>
              <w:kinsoku/>
              <w:overflowPunct/>
              <w:topLinePunct w:val="0"/>
              <w:bidi w:val="0"/>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每位学生单独在平台完成为期两周的资产组合模拟交易操作。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62" w:type="pct"/>
            <w:vAlign w:val="center"/>
          </w:tcPr>
          <w:p>
            <w:pPr>
              <w:keepNext w:val="0"/>
              <w:keepLines w:val="0"/>
              <w:pageBreakBefore w:val="0"/>
              <w:kinsoku/>
              <w:overflowPunct/>
              <w:topLinePunct w:val="0"/>
              <w:bidi w:val="0"/>
              <w:snapToGrid/>
              <w:spacing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640" w:type="pct"/>
            <w:vAlign w:val="center"/>
          </w:tcPr>
          <w:p>
            <w:pPr>
              <w:keepNext w:val="0"/>
              <w:keepLines w:val="0"/>
              <w:pageBreakBefore w:val="0"/>
              <w:kinsoku/>
              <w:overflowPunct/>
              <w:topLinePunct w:val="0"/>
              <w:bidi w:val="0"/>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期末</w:t>
            </w:r>
          </w:p>
        </w:tc>
        <w:tc>
          <w:tcPr>
            <w:tcW w:w="1745" w:type="pct"/>
            <w:shd w:val="clear" w:color="auto" w:fill="auto"/>
            <w:vAlign w:val="center"/>
          </w:tcPr>
          <w:p>
            <w:pPr>
              <w:keepNext w:val="0"/>
              <w:keepLines w:val="0"/>
              <w:pageBreakBefore w:val="0"/>
              <w:kinsoku/>
              <w:overflowPunct/>
              <w:topLinePunct w:val="0"/>
              <w:bidi w:val="0"/>
              <w:snapToGrid/>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《资产配置策略分析报告》的整体质量及小组汇报情况</w:t>
            </w:r>
          </w:p>
        </w:tc>
        <w:tc>
          <w:tcPr>
            <w:tcW w:w="628" w:type="pct"/>
            <w:shd w:val="clear" w:color="auto" w:fill="auto"/>
            <w:vAlign w:val="center"/>
          </w:tcPr>
          <w:p>
            <w:pPr>
              <w:keepNext w:val="0"/>
              <w:keepLines w:val="0"/>
              <w:pageBreakBefore w:val="0"/>
              <w:kinsoku/>
              <w:overflowPunct/>
              <w:topLinePunct w:val="0"/>
              <w:bidi w:val="0"/>
              <w:snapToGrid/>
              <w:spacing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50%</w:t>
            </w:r>
          </w:p>
        </w:tc>
        <w:tc>
          <w:tcPr>
            <w:tcW w:w="1622" w:type="pct"/>
            <w:vAlign w:val="center"/>
          </w:tcPr>
          <w:p>
            <w:pPr>
              <w:keepNext w:val="0"/>
              <w:keepLines w:val="0"/>
              <w:pageBreakBefore w:val="0"/>
              <w:kinsoku/>
              <w:overflowPunct/>
              <w:topLinePunct w:val="0"/>
              <w:bidi w:val="0"/>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根据金融资产配置策略设计及实施情况进行评定。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49" w:type="pct"/>
            <w:gridSpan w:val="3"/>
            <w:vAlign w:val="center"/>
          </w:tcPr>
          <w:p>
            <w:pPr>
              <w:keepNext w:val="0"/>
              <w:keepLines w:val="0"/>
              <w:pageBreakBefore w:val="0"/>
              <w:kinsoku/>
              <w:overflowPunct/>
              <w:topLinePunct w:val="0"/>
              <w:bidi w:val="0"/>
              <w:snapToGrid/>
              <w:spacing w:line="240" w:lineRule="auto"/>
              <w:ind w:left="0" w:leftChars="0" w:firstLine="422" w:firstLineChars="200"/>
              <w:jc w:val="center"/>
              <w:textAlignment w:val="auto"/>
              <w:rPr>
                <w:rFonts w:hint="eastAsia" w:ascii="宋体" w:hAnsi="宋体" w:eastAsia="宋体" w:cs="宋体"/>
                <w:sz w:val="21"/>
                <w:szCs w:val="21"/>
              </w:rPr>
            </w:pPr>
            <w:r>
              <w:rPr>
                <w:rFonts w:hint="eastAsia" w:ascii="宋体" w:hAnsi="宋体" w:eastAsia="宋体" w:cs="宋体"/>
                <w:b/>
                <w:sz w:val="21"/>
                <w:szCs w:val="21"/>
              </w:rPr>
              <w:t>合计</w:t>
            </w:r>
          </w:p>
        </w:tc>
        <w:tc>
          <w:tcPr>
            <w:tcW w:w="628" w:type="pct"/>
          </w:tcPr>
          <w:p>
            <w:pPr>
              <w:keepNext w:val="0"/>
              <w:keepLines w:val="0"/>
              <w:pageBreakBefore w:val="0"/>
              <w:kinsoku/>
              <w:overflowPunct/>
              <w:topLinePunct w:val="0"/>
              <w:bidi w:val="0"/>
              <w:snapToGrid/>
              <w:spacing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100%</w:t>
            </w:r>
          </w:p>
        </w:tc>
        <w:tc>
          <w:tcPr>
            <w:tcW w:w="1622" w:type="pct"/>
            <w:vAlign w:val="center"/>
          </w:tcPr>
          <w:p>
            <w:pPr>
              <w:keepNext w:val="0"/>
              <w:keepLines w:val="0"/>
              <w:pageBreakBefore w:val="0"/>
              <w:kinsoku/>
              <w:overflowPunct/>
              <w:topLinePunct w:val="0"/>
              <w:bidi w:val="0"/>
              <w:snapToGrid/>
              <w:spacing w:line="240" w:lineRule="auto"/>
              <w:ind w:left="0" w:leftChars="0" w:firstLine="420" w:firstLineChars="200"/>
              <w:jc w:val="center"/>
              <w:textAlignment w:val="auto"/>
              <w:rPr>
                <w:rFonts w:hint="eastAsia" w:ascii="宋体" w:hAnsi="宋体" w:eastAsia="宋体" w:cs="宋体"/>
                <w:sz w:val="21"/>
                <w:szCs w:val="21"/>
              </w:rPr>
            </w:pPr>
          </w:p>
        </w:tc>
      </w:tr>
    </w:tbl>
    <w:p>
      <w:pPr>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p>
    <w:p>
      <w:pPr>
        <w:pStyle w:val="12"/>
        <w:keepNext w:val="0"/>
        <w:keepLines w:val="0"/>
        <w:pageBreakBefore w:val="0"/>
        <w:numPr>
          <w:ilvl w:val="0"/>
          <w:numId w:val="2"/>
        </w:numPr>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报告提交的格式要求及提交截止日期</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b/>
          <w:sz w:val="24"/>
        </w:rPr>
      </w:pPr>
      <w:r>
        <w:rPr>
          <w:rFonts w:hint="eastAsia" w:ascii="宋体" w:hAnsi="宋体" w:eastAsia="宋体" w:cs="宋体"/>
          <w:sz w:val="24"/>
        </w:rPr>
        <w:t>提交形式：纸质版的《资产配置策略分析报告》一份（普通纸张打印即可，左侧须装订好2个钉子），具体格式可参见“附件2：《资产配置策略分析报告》格式模板”，请务必按附件2的格式提交报告不要擅自改动。</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b/>
          <w:sz w:val="24"/>
        </w:rPr>
      </w:pPr>
      <w:r>
        <w:rPr>
          <w:rFonts w:hint="eastAsia" w:ascii="宋体" w:hAnsi="宋体" w:eastAsia="宋体" w:cs="宋体"/>
          <w:sz w:val="24"/>
        </w:rPr>
        <w:t>提交截止日期：</w:t>
      </w:r>
      <w:r>
        <w:rPr>
          <w:rFonts w:hint="eastAsia" w:ascii="宋体" w:hAnsi="宋体" w:eastAsia="宋体" w:cs="宋体"/>
          <w:b/>
          <w:sz w:val="24"/>
        </w:rPr>
        <w:t>第二周周五</w:t>
      </w:r>
      <w:r>
        <w:rPr>
          <w:rFonts w:hint="eastAsia" w:ascii="宋体" w:hAnsi="宋体" w:eastAsia="宋体" w:cs="宋体"/>
          <w:b/>
          <w:sz w:val="24"/>
          <w:lang w:val="en-US" w:eastAsia="zh-CN"/>
        </w:rPr>
        <w:t>下午</w:t>
      </w:r>
      <w:r>
        <w:rPr>
          <w:rFonts w:hint="eastAsia" w:ascii="宋体" w:hAnsi="宋体" w:eastAsia="宋体" w:cs="宋体"/>
          <w:sz w:val="24"/>
        </w:rPr>
        <w:t>，每组组长在上课时将定稿报告提交给指导老师；指导老师</w:t>
      </w:r>
      <w:r>
        <w:rPr>
          <w:rFonts w:hint="eastAsia" w:ascii="宋体" w:hAnsi="宋体" w:eastAsia="宋体" w:cs="宋体"/>
          <w:b/>
          <w:sz w:val="24"/>
        </w:rPr>
        <w:t>在第二周周日之前评定好每个学生的成绩，并及时录入教务系统。</w:t>
      </w:r>
    </w:p>
    <w:p>
      <w:pPr>
        <w:keepNext w:val="0"/>
        <w:keepLines w:val="0"/>
        <w:pageBreakBefore w:val="0"/>
        <w:kinsoku/>
        <w:overflowPunct/>
        <w:topLinePunct w:val="0"/>
        <w:bidi w:val="0"/>
        <w:snapToGrid/>
        <w:spacing w:line="440" w:lineRule="exact"/>
        <w:ind w:left="0" w:leftChars="0" w:firstLine="482" w:firstLineChars="200"/>
        <w:jc w:val="left"/>
        <w:textAlignment w:val="auto"/>
        <w:outlineLvl w:val="0"/>
        <w:rPr>
          <w:rFonts w:hint="eastAsia" w:ascii="宋体" w:hAnsi="宋体" w:eastAsia="宋体" w:cs="宋体"/>
          <w:b/>
          <w:sz w:val="24"/>
        </w:rPr>
      </w:pPr>
      <w:r>
        <w:rPr>
          <w:rFonts w:hint="eastAsia" w:ascii="宋体" w:hAnsi="宋体" w:eastAsia="宋体" w:cs="宋体"/>
          <w:b/>
          <w:sz w:val="24"/>
        </w:rPr>
        <w:t>四、《资产配置策略分析报告》内容方面的具体要求</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（一）内容要求</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该报告的主题是资产配置和财富管理，因此报告必须围绕资产</w:t>
      </w:r>
      <w:r>
        <w:rPr>
          <w:rFonts w:hint="eastAsia" w:ascii="宋体" w:hAnsi="宋体" w:eastAsia="宋体" w:cs="宋体"/>
          <w:sz w:val="24"/>
          <w:lang w:val="en-US" w:eastAsia="zh-CN"/>
        </w:rPr>
        <w:t>配置</w:t>
      </w:r>
      <w:r>
        <w:rPr>
          <w:rFonts w:hint="eastAsia" w:ascii="宋体" w:hAnsi="宋体" w:eastAsia="宋体" w:cs="宋体"/>
          <w:sz w:val="24"/>
          <w:lang w:eastAsia="zh-CN"/>
        </w:rPr>
        <w:t>、</w:t>
      </w:r>
      <w:r>
        <w:rPr>
          <w:rFonts w:hint="eastAsia" w:ascii="宋体" w:hAnsi="宋体" w:eastAsia="宋体" w:cs="宋体"/>
          <w:sz w:val="24"/>
        </w:rPr>
        <w:t>策略建议的主题而展开，一般来说报告的框架可以设计为：</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目录</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概要</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市场环境分析</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资产配置方案设计</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资产配置方案实施情况</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预期收益分析</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附录（含参考资产组合策略、市场调查分析、参考文献等）</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前6个部分为必选模块，其中市场环境分析包括宏观经济环境、行业环境、微观环境等方面，基于环境分析选择合适的资产配置策略；资产配置方案设计涵盖拟配置资产的风险收益特点及总体配置目标，参考金融机构资产配置策略，制定拟实施的资产配置方案；资产配置方案实施情况部分则是结合市场调查分析结果和交易策略计划，利用CSMAR</w:t>
      </w:r>
      <w:r>
        <w:rPr>
          <w:rFonts w:hint="eastAsia" w:ascii="宋体" w:hAnsi="宋体" w:eastAsia="宋体" w:cs="宋体"/>
          <w:sz w:val="24"/>
          <w:lang w:val="en-US" w:eastAsia="zh-CN"/>
        </w:rPr>
        <w:t>证券投资实训系统</w:t>
      </w:r>
      <w:r>
        <w:rPr>
          <w:rFonts w:hint="eastAsia" w:ascii="宋体" w:hAnsi="宋体" w:eastAsia="宋体" w:cs="宋体"/>
          <w:sz w:val="24"/>
        </w:rPr>
        <w:t>进行实践演练，将实施方案的动态调整和完善过程进行记录，此部分可多利用图表展示，并鼓励创新；预期收益分析是对于实时行情模拟交易情况进行的</w:t>
      </w:r>
      <w:r>
        <w:rPr>
          <w:rFonts w:hint="eastAsia" w:ascii="宋体" w:hAnsi="宋体" w:eastAsia="宋体" w:cs="宋体"/>
          <w:sz w:val="24"/>
          <w:lang w:val="en-US" w:eastAsia="zh-CN"/>
        </w:rPr>
        <w:t>预测</w:t>
      </w:r>
      <w:r>
        <w:rPr>
          <w:rFonts w:hint="eastAsia" w:ascii="宋体" w:hAnsi="宋体" w:eastAsia="宋体" w:cs="宋体"/>
          <w:sz w:val="24"/>
        </w:rPr>
        <w:t>和分析。基于此，教师在指导过程中可基于“合理性和适用性”原则，支持富有创新精神和方案说服力的团队获得更大的胜出机会！</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 xml:space="preserve"> 关于附录和市场调查：各组同学提交的《资产配置策略分析报告》可以参考国内代表性金融机构的投资策略，所参考的策略以及其他图表数据和文献资料均可作为附录列出；市场调查模块属于财富顾问咨询当中的重要一环，各组组长可以协调安排组员分工负责该模块，除了市场调查的原始资料外，还需要对调查结果进行分析和评价，找出资产配置方案设计中可能存在的问题；具体形式请自行决定，可以网络在线调查，也可以选择线下访谈调查等。</w:t>
      </w:r>
      <w:r>
        <w:rPr>
          <w:rFonts w:hint="eastAsia" w:ascii="宋体" w:hAnsi="宋体" w:eastAsia="宋体" w:cs="宋体"/>
          <w:b/>
          <w:sz w:val="24"/>
        </w:rPr>
        <w:t>附录的市场调查分析模块为必选模块</w:t>
      </w:r>
      <w:r>
        <w:rPr>
          <w:rFonts w:hint="eastAsia" w:ascii="宋体" w:hAnsi="宋体" w:eastAsia="宋体" w:cs="宋体"/>
          <w:sz w:val="24"/>
        </w:rPr>
        <w:t>。</w:t>
      </w:r>
    </w:p>
    <w:p>
      <w:pPr>
        <w:pStyle w:val="12"/>
        <w:keepNext w:val="0"/>
        <w:keepLines w:val="0"/>
        <w:pageBreakBefore w:val="0"/>
        <w:numPr>
          <w:ilvl w:val="0"/>
          <w:numId w:val="2"/>
        </w:numPr>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关于字数与篇幅</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正文（不包括附录）</w:t>
      </w:r>
      <w:r>
        <w:rPr>
          <w:rFonts w:hint="eastAsia" w:ascii="宋体" w:hAnsi="宋体" w:eastAsia="宋体" w:cs="宋体"/>
          <w:b/>
          <w:sz w:val="24"/>
        </w:rPr>
        <w:t>字数必须控制在</w:t>
      </w:r>
      <w:r>
        <w:rPr>
          <w:rFonts w:hint="eastAsia" w:ascii="宋体" w:hAnsi="宋体" w:eastAsia="宋体" w:cs="宋体"/>
          <w:b/>
          <w:sz w:val="24"/>
        </w:rPr>
        <w:t>4</w:t>
      </w:r>
      <w:r>
        <w:rPr>
          <w:rFonts w:hint="eastAsia" w:ascii="宋体" w:hAnsi="宋体" w:eastAsia="宋体" w:cs="宋体"/>
          <w:b/>
          <w:sz w:val="24"/>
        </w:rPr>
        <w:t>000-</w:t>
      </w:r>
      <w:r>
        <w:rPr>
          <w:rFonts w:hint="eastAsia" w:ascii="宋体" w:hAnsi="宋体" w:eastAsia="宋体" w:cs="宋体"/>
          <w:b/>
          <w:sz w:val="24"/>
        </w:rPr>
        <w:t>6</w:t>
      </w:r>
      <w:r>
        <w:rPr>
          <w:rFonts w:hint="eastAsia" w:ascii="宋体" w:hAnsi="宋体" w:eastAsia="宋体" w:cs="宋体"/>
          <w:b/>
          <w:sz w:val="24"/>
        </w:rPr>
        <w:t>000之间</w:t>
      </w:r>
      <w:r>
        <w:rPr>
          <w:rFonts w:hint="eastAsia" w:ascii="宋体" w:hAnsi="宋体" w:eastAsia="宋体" w:cs="宋体"/>
          <w:sz w:val="24"/>
        </w:rPr>
        <w:t>，过多或过少的都会扣分，过少说明分析深度不够，过多说明论述不够精炼，请各组自行把握。</w:t>
      </w:r>
    </w:p>
    <w:p>
      <w:pPr>
        <w:pStyle w:val="12"/>
        <w:keepNext w:val="0"/>
        <w:keepLines w:val="0"/>
        <w:pageBreakBefore w:val="0"/>
        <w:numPr>
          <w:ilvl w:val="0"/>
          <w:numId w:val="3"/>
        </w:numPr>
        <w:kinsoku/>
        <w:overflowPunct/>
        <w:topLinePunct w:val="0"/>
        <w:bidi w:val="0"/>
        <w:snapToGrid/>
        <w:spacing w:line="440" w:lineRule="exact"/>
        <w:ind w:left="0" w:leftChars="0" w:firstLine="482" w:firstLineChars="200"/>
        <w:jc w:val="left"/>
        <w:textAlignment w:val="auto"/>
        <w:outlineLvl w:val="0"/>
        <w:rPr>
          <w:rFonts w:hint="eastAsia" w:ascii="宋体" w:hAnsi="宋体" w:eastAsia="宋体" w:cs="宋体"/>
          <w:b/>
          <w:sz w:val="24"/>
        </w:rPr>
      </w:pPr>
      <w:r>
        <w:rPr>
          <w:rFonts w:hint="eastAsia" w:ascii="宋体" w:hAnsi="宋体" w:eastAsia="宋体" w:cs="宋体"/>
          <w:b/>
          <w:sz w:val="24"/>
        </w:rPr>
        <w:t>负责老师名单、学生分组规则及活动经费</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课程开设对象为大三的金融学专业学生，开设</w:t>
      </w:r>
      <w:r>
        <w:rPr>
          <w:rFonts w:hint="eastAsia" w:ascii="宋体" w:hAnsi="宋体" w:eastAsia="宋体" w:cs="宋体"/>
          <w:sz w:val="24"/>
        </w:rPr>
        <w:t>1</w:t>
      </w:r>
      <w:r>
        <w:rPr>
          <w:rFonts w:hint="eastAsia" w:ascii="宋体" w:hAnsi="宋体" w:eastAsia="宋体" w:cs="宋体"/>
          <w:sz w:val="24"/>
        </w:rPr>
        <w:t>个班级，共约5</w:t>
      </w:r>
      <w:r>
        <w:rPr>
          <w:rFonts w:hint="eastAsia" w:ascii="宋体" w:hAnsi="宋体" w:eastAsia="宋体" w:cs="宋体"/>
          <w:sz w:val="24"/>
        </w:rPr>
        <w:t>0</w:t>
      </w:r>
      <w:r>
        <w:rPr>
          <w:rFonts w:hint="eastAsia" w:ascii="宋体" w:hAnsi="宋体" w:eastAsia="宋体" w:cs="宋体"/>
          <w:sz w:val="24"/>
        </w:rPr>
        <w:t>名左右的学生，配备</w:t>
      </w:r>
      <w:r>
        <w:rPr>
          <w:rFonts w:hint="eastAsia" w:ascii="宋体" w:hAnsi="宋体" w:eastAsia="宋体" w:cs="宋体"/>
          <w:sz w:val="24"/>
        </w:rPr>
        <w:t>2</w:t>
      </w:r>
      <w:r>
        <w:rPr>
          <w:rFonts w:hint="eastAsia" w:ascii="宋体" w:hAnsi="宋体" w:eastAsia="宋体" w:cs="宋体"/>
          <w:sz w:val="24"/>
        </w:rPr>
        <w:t>名指导老师，学生团队的分组须在实践周开始之初完成。学生可自由组队，每个团队人数控制为</w:t>
      </w:r>
      <w:r>
        <w:rPr>
          <w:rFonts w:hint="eastAsia" w:ascii="宋体" w:hAnsi="宋体" w:eastAsia="宋体" w:cs="宋体"/>
          <w:sz w:val="24"/>
        </w:rPr>
        <w:t>4</w:t>
      </w:r>
      <w:r>
        <w:rPr>
          <w:rFonts w:hint="eastAsia" w:ascii="宋体" w:hAnsi="宋体" w:eastAsia="宋体" w:cs="宋体"/>
          <w:sz w:val="24"/>
        </w:rPr>
        <w:t>-</w:t>
      </w:r>
      <w:r>
        <w:rPr>
          <w:rFonts w:hint="eastAsia" w:ascii="宋体" w:hAnsi="宋体" w:eastAsia="宋体" w:cs="宋体"/>
          <w:sz w:val="24"/>
        </w:rPr>
        <w:t>5</w:t>
      </w:r>
      <w:r>
        <w:rPr>
          <w:rFonts w:hint="eastAsia" w:ascii="宋体" w:hAnsi="宋体" w:eastAsia="宋体" w:cs="宋体"/>
          <w:sz w:val="24"/>
        </w:rPr>
        <w:t>人，必须指定一个组长，每个团队需要</w:t>
      </w:r>
      <w:r>
        <w:rPr>
          <w:rFonts w:hint="eastAsia" w:ascii="宋体" w:hAnsi="宋体" w:eastAsia="宋体" w:cs="宋体"/>
          <w:b/>
          <w:sz w:val="24"/>
        </w:rPr>
        <w:t>选定一个组名</w:t>
      </w:r>
      <w:r>
        <w:rPr>
          <w:rFonts w:hint="eastAsia" w:ascii="宋体" w:hAnsi="宋体" w:eastAsia="宋体" w:cs="宋体"/>
          <w:sz w:val="24"/>
        </w:rPr>
        <w:t>（中英文皆可）。</w:t>
      </w:r>
    </w:p>
    <w:p>
      <w:pPr>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为了让大家的实践任务完成的更加出色，同时也对同学们的辛勤付出给予奖励，学院财务部会</w:t>
      </w:r>
      <w:r>
        <w:rPr>
          <w:rFonts w:hint="eastAsia" w:ascii="宋体" w:hAnsi="宋体" w:eastAsia="宋体" w:cs="宋体"/>
          <w:b/>
          <w:bCs/>
          <w:sz w:val="24"/>
        </w:rPr>
        <w:t>给每个团队拨发活动经费300元整</w:t>
      </w:r>
      <w:r>
        <w:rPr>
          <w:rFonts w:hint="eastAsia" w:ascii="宋体" w:hAnsi="宋体" w:eastAsia="宋体" w:cs="宋体"/>
          <w:sz w:val="24"/>
        </w:rPr>
        <w:t>（不需要提供发票），用于资料的搜集加工。</w:t>
      </w:r>
    </w:p>
    <w:p>
      <w:pPr>
        <w:pStyle w:val="12"/>
        <w:keepNext w:val="0"/>
        <w:keepLines w:val="0"/>
        <w:pageBreakBefore w:val="0"/>
        <w:numPr>
          <w:ilvl w:val="0"/>
          <w:numId w:val="3"/>
        </w:numPr>
        <w:kinsoku/>
        <w:overflowPunct/>
        <w:topLinePunct w:val="0"/>
        <w:bidi w:val="0"/>
        <w:snapToGrid/>
        <w:spacing w:line="440" w:lineRule="exact"/>
        <w:ind w:left="0" w:leftChars="0" w:firstLine="482" w:firstLineChars="200"/>
        <w:jc w:val="left"/>
        <w:textAlignment w:val="auto"/>
        <w:outlineLvl w:val="0"/>
        <w:rPr>
          <w:rFonts w:hint="eastAsia" w:ascii="宋体" w:hAnsi="宋体" w:eastAsia="宋体" w:cs="宋体"/>
          <w:b/>
          <w:sz w:val="24"/>
        </w:rPr>
      </w:pPr>
      <w:r>
        <w:rPr>
          <w:rFonts w:hint="eastAsia" w:ascii="宋体" w:hAnsi="宋体" w:eastAsia="宋体" w:cs="宋体"/>
          <w:b/>
          <w:sz w:val="24"/>
        </w:rPr>
        <w:t>活动介绍及点名</w:t>
      </w:r>
    </w:p>
    <w:p>
      <w:pPr>
        <w:pStyle w:val="12"/>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实践周第一周的周一上午34节课，由指导老师先点名记录考勤，介绍一下比赛日程和安排，答疑辅导方式、课程报告的提交要求和截止日期等相关要点。</w:t>
      </w:r>
    </w:p>
    <w:p>
      <w:pPr>
        <w:pStyle w:val="12"/>
        <w:keepNext w:val="0"/>
        <w:keepLines w:val="0"/>
        <w:pageBreakBefore w:val="0"/>
        <w:numPr>
          <w:ilvl w:val="0"/>
          <w:numId w:val="3"/>
        </w:numPr>
        <w:kinsoku/>
        <w:overflowPunct/>
        <w:topLinePunct w:val="0"/>
        <w:bidi w:val="0"/>
        <w:snapToGrid/>
        <w:spacing w:line="440" w:lineRule="exact"/>
        <w:ind w:left="0" w:leftChars="0" w:firstLine="482" w:firstLineChars="200"/>
        <w:jc w:val="left"/>
        <w:textAlignment w:val="auto"/>
        <w:outlineLvl w:val="0"/>
        <w:rPr>
          <w:rFonts w:hint="eastAsia" w:ascii="宋体" w:hAnsi="宋体" w:eastAsia="宋体" w:cs="宋体"/>
          <w:b/>
          <w:sz w:val="24"/>
        </w:rPr>
      </w:pPr>
      <w:r>
        <w:rPr>
          <w:rFonts w:hint="eastAsia" w:ascii="宋体" w:hAnsi="宋体" w:eastAsia="宋体" w:cs="宋体"/>
          <w:b/>
          <w:sz w:val="24"/>
        </w:rPr>
        <w:t>指导老师的辅导答疑方式</w:t>
      </w:r>
    </w:p>
    <w:p>
      <w:pPr>
        <w:pStyle w:val="12"/>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指导老师需向学生明确告知在线辅导和答疑方式，开展市场调查期间进行辅导答疑的具体形式，明确实验室上课时间和地点（详见教务系统课表安排）及具体实践教学内容。</w:t>
      </w:r>
    </w:p>
    <w:p>
      <w:pPr>
        <w:pStyle w:val="12"/>
        <w:keepNext w:val="0"/>
        <w:keepLines w:val="0"/>
        <w:pageBreakBefore w:val="0"/>
        <w:kinsoku/>
        <w:overflowPunct/>
        <w:topLinePunct w:val="0"/>
        <w:bidi w:val="0"/>
        <w:snapToGrid/>
        <w:spacing w:line="440" w:lineRule="exact"/>
        <w:ind w:left="0" w:leftChars="0" w:firstLine="480" w:firstLineChars="200"/>
        <w:jc w:val="left"/>
        <w:textAlignment w:val="auto"/>
        <w:outlineLvl w:val="0"/>
        <w:rPr>
          <w:rFonts w:hint="eastAsia" w:ascii="宋体" w:hAnsi="宋体" w:eastAsia="宋体" w:cs="宋体"/>
          <w:sz w:val="24"/>
        </w:rPr>
      </w:pPr>
      <w:r>
        <w:rPr>
          <w:rFonts w:hint="eastAsia" w:ascii="宋体" w:hAnsi="宋体" w:eastAsia="宋体" w:cs="宋体"/>
          <w:sz w:val="24"/>
        </w:rPr>
        <w:t>辅导方式：QQ（群）</w:t>
      </w:r>
    </w:p>
    <w:p>
      <w:pPr>
        <w:pStyle w:val="12"/>
        <w:keepNext w:val="0"/>
        <w:keepLines w:val="0"/>
        <w:pageBreakBefore w:val="0"/>
        <w:numPr>
          <w:ilvl w:val="0"/>
          <w:numId w:val="3"/>
        </w:numPr>
        <w:kinsoku/>
        <w:overflowPunct/>
        <w:topLinePunct w:val="0"/>
        <w:bidi w:val="0"/>
        <w:snapToGrid/>
        <w:spacing w:line="440" w:lineRule="exact"/>
        <w:ind w:left="0" w:leftChars="0" w:firstLine="482" w:firstLineChars="200"/>
        <w:textAlignment w:val="auto"/>
        <w:rPr>
          <w:rFonts w:hint="eastAsia" w:ascii="宋体" w:hAnsi="宋体" w:eastAsia="宋体" w:cs="宋体"/>
          <w:b/>
          <w:sz w:val="24"/>
        </w:rPr>
      </w:pPr>
      <w:r>
        <w:rPr>
          <w:rFonts w:hint="eastAsia" w:ascii="宋体" w:hAnsi="宋体" w:eastAsia="宋体" w:cs="宋体"/>
          <w:b/>
          <w:sz w:val="24"/>
        </w:rPr>
        <w:t>公开赛方式及规则</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第一周周一至第二周周五开放CSMAR</w:t>
      </w:r>
      <w:r>
        <w:rPr>
          <w:rFonts w:hint="eastAsia" w:ascii="宋体" w:hAnsi="宋体" w:eastAsia="宋体" w:cs="宋体"/>
          <w:sz w:val="24"/>
          <w:lang w:val="en-US" w:eastAsia="zh-CN"/>
        </w:rPr>
        <w:t>证券投资实训系统</w:t>
      </w:r>
      <w:r>
        <w:rPr>
          <w:rFonts w:hint="eastAsia" w:ascii="宋体" w:hAnsi="宋体" w:eastAsia="宋体" w:cs="宋体"/>
          <w:b/>
          <w:bCs/>
          <w:sz w:val="24"/>
        </w:rPr>
        <w:t>“资产配置大赛”</w:t>
      </w:r>
      <w:r>
        <w:rPr>
          <w:rFonts w:hint="eastAsia" w:ascii="宋体" w:hAnsi="宋体" w:eastAsia="宋体" w:cs="宋体"/>
          <w:sz w:val="24"/>
        </w:rPr>
        <w:t>平台，提供给各组进行资产配置实践演练。</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赛事规则如下：</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举办方：SAF</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初始资金：</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人民币：</w:t>
      </w:r>
      <w:r>
        <w:rPr>
          <w:rFonts w:hint="eastAsia" w:ascii="宋体" w:hAnsi="宋体" w:eastAsia="宋体" w:cs="宋体"/>
          <w:sz w:val="24"/>
          <w:lang w:val="en-US" w:eastAsia="zh-CN"/>
        </w:rPr>
        <w:t>7</w:t>
      </w:r>
      <w:r>
        <w:rPr>
          <w:rFonts w:hint="eastAsia" w:ascii="宋体" w:hAnsi="宋体" w:eastAsia="宋体" w:cs="宋体"/>
          <w:sz w:val="24"/>
        </w:rPr>
        <w:t>000000</w:t>
      </w:r>
      <w:r>
        <w:rPr>
          <w:rFonts w:hint="eastAsia" w:ascii="宋体" w:hAnsi="宋体" w:eastAsia="宋体" w:cs="宋体"/>
          <w:sz w:val="24"/>
          <w:lang w:val="en-US" w:eastAsia="zh-CN"/>
        </w:rPr>
        <w:t>元</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可交易资产：</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基础资产：股票、债券、基金、港股</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衍生产品：商品期货、金融期货、</w:t>
      </w:r>
      <w:r>
        <w:rPr>
          <w:rFonts w:hint="eastAsia" w:ascii="宋体" w:hAnsi="宋体" w:eastAsia="宋体" w:cs="宋体"/>
          <w:sz w:val="24"/>
          <w:lang w:val="en-US" w:eastAsia="zh-CN"/>
        </w:rPr>
        <w:t>金融</w:t>
      </w:r>
      <w:r>
        <w:rPr>
          <w:rFonts w:hint="eastAsia" w:ascii="宋体" w:hAnsi="宋体" w:eastAsia="宋体" w:cs="宋体"/>
          <w:sz w:val="24"/>
        </w:rPr>
        <w:t>期权</w:t>
      </w:r>
      <w:r>
        <w:rPr>
          <w:rFonts w:hint="eastAsia" w:ascii="宋体" w:hAnsi="宋体" w:eastAsia="宋体" w:cs="宋体"/>
          <w:sz w:val="24"/>
          <w:lang w:eastAsia="zh-CN"/>
        </w:rPr>
        <w:t>、</w:t>
      </w:r>
      <w:r>
        <w:rPr>
          <w:rFonts w:hint="eastAsia" w:ascii="宋体" w:hAnsi="宋体" w:eastAsia="宋体" w:cs="宋体"/>
          <w:sz w:val="24"/>
          <w:lang w:val="en-US" w:eastAsia="zh-CN"/>
        </w:rPr>
        <w:t>商品期权</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投组分析</w:t>
      </w:r>
      <w:r>
        <w:rPr>
          <w:rFonts w:hint="eastAsia" w:ascii="宋体" w:hAnsi="宋体" w:eastAsia="宋体" w:cs="宋体"/>
          <w:sz w:val="24"/>
        </w:rPr>
        <w:t>：</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无风险收益率：</w:t>
      </w:r>
      <w:r>
        <w:rPr>
          <w:rFonts w:hint="eastAsia" w:ascii="宋体" w:hAnsi="宋体" w:eastAsia="宋体" w:cs="宋体"/>
          <w:sz w:val="24"/>
        </w:rPr>
        <w:t>1.5</w:t>
      </w:r>
      <w:r>
        <w:rPr>
          <w:rFonts w:hint="eastAsia" w:ascii="宋体" w:hAnsi="宋体" w:eastAsia="宋体" w:cs="宋体"/>
          <w:sz w:val="24"/>
        </w:rPr>
        <w:t>%</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业绩基准</w:t>
      </w:r>
      <w:r>
        <w:rPr>
          <w:rFonts w:hint="eastAsia" w:ascii="宋体" w:hAnsi="宋体" w:eastAsia="宋体" w:cs="宋体"/>
          <w:sz w:val="24"/>
          <w:lang w:val="en-US" w:eastAsia="zh-CN"/>
        </w:rPr>
        <w:t>设置</w:t>
      </w:r>
      <w:r>
        <w:rPr>
          <w:rFonts w:hint="eastAsia" w:ascii="宋体" w:hAnsi="宋体" w:eastAsia="宋体" w:cs="宋体"/>
          <w:sz w:val="24"/>
        </w:rPr>
        <w:t>：</w:t>
      </w:r>
      <w:r>
        <w:rPr>
          <w:rFonts w:hint="eastAsia" w:ascii="宋体" w:hAnsi="宋体" w:eastAsia="宋体" w:cs="宋体"/>
          <w:sz w:val="24"/>
          <w:lang w:val="en-US" w:eastAsia="zh-CN"/>
        </w:rPr>
        <w:t>沪深300指数</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市场行业收益指数：沪深300</w:t>
      </w:r>
    </w:p>
    <w:p>
      <w:pPr>
        <w:pStyle w:val="12"/>
        <w:keepNext w:val="0"/>
        <w:keepLines w:val="0"/>
        <w:pageBreakBefore w:val="0"/>
        <w:numPr>
          <w:ilvl w:val="0"/>
          <w:numId w:val="3"/>
        </w:numPr>
        <w:kinsoku/>
        <w:overflowPunct/>
        <w:topLinePunct w:val="0"/>
        <w:bidi w:val="0"/>
        <w:snapToGrid/>
        <w:spacing w:line="440" w:lineRule="exact"/>
        <w:ind w:left="0" w:leftChars="0" w:firstLine="482" w:firstLineChars="200"/>
        <w:textAlignment w:val="auto"/>
        <w:rPr>
          <w:rFonts w:hint="eastAsia" w:ascii="宋体" w:hAnsi="宋体" w:eastAsia="宋体" w:cs="宋体"/>
          <w:b/>
          <w:sz w:val="24"/>
        </w:rPr>
      </w:pPr>
      <w:r>
        <w:rPr>
          <w:rFonts w:hint="eastAsia" w:ascii="宋体" w:hAnsi="宋体" w:eastAsia="宋体" w:cs="宋体"/>
          <w:b/>
          <w:sz w:val="24"/>
        </w:rPr>
        <w:t>总决赛规则及奖项设置</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第二周周五举行“SAF资产配置策略分析公开赛”。</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特别提醒：1、各组组长和组员必须在比赛现场，当面向评委老师展示汇报材料（形式不限，可制作PPT/短视频/演示文稿）。2、公开赛为公开正式的学术性专业竞赛，请</w:t>
      </w:r>
      <w:r>
        <w:rPr>
          <w:rFonts w:hint="eastAsia" w:ascii="宋体" w:hAnsi="宋体" w:eastAsia="宋体" w:cs="宋体"/>
          <w:b/>
          <w:sz w:val="24"/>
        </w:rPr>
        <w:t>尽量穿着正式</w:t>
      </w:r>
      <w:r>
        <w:rPr>
          <w:rFonts w:hint="eastAsia" w:ascii="宋体" w:hAnsi="宋体" w:eastAsia="宋体" w:cs="宋体"/>
          <w:sz w:val="24"/>
        </w:rPr>
        <w:t>的服装出席比赛，对于服装的具体形式</w:t>
      </w:r>
      <w:r>
        <w:rPr>
          <w:rFonts w:hint="eastAsia" w:ascii="宋体" w:hAnsi="宋体" w:eastAsia="宋体" w:cs="宋体"/>
          <w:b/>
          <w:sz w:val="24"/>
        </w:rPr>
        <w:t>不做统一要求</w:t>
      </w:r>
      <w:r>
        <w:rPr>
          <w:rFonts w:hint="eastAsia" w:ascii="宋体" w:hAnsi="宋体" w:eastAsia="宋体" w:cs="宋体"/>
          <w:sz w:val="24"/>
        </w:rPr>
        <w:t>，由各组自行决定！</w:t>
      </w:r>
    </w:p>
    <w:p>
      <w:pPr>
        <w:pStyle w:val="12"/>
        <w:keepNext w:val="0"/>
        <w:keepLines w:val="0"/>
        <w:pageBreakBefore w:val="0"/>
        <w:kinsoku/>
        <w:overflowPunct/>
        <w:topLinePunct w:val="0"/>
        <w:bidi w:val="0"/>
        <w:snapToGrid/>
        <w:spacing w:line="440" w:lineRule="exact"/>
        <w:ind w:left="0" w:leftChars="0" w:firstLine="482" w:firstLineChars="200"/>
        <w:textAlignment w:val="auto"/>
        <w:rPr>
          <w:rFonts w:hint="eastAsia" w:ascii="宋体" w:hAnsi="宋体" w:eastAsia="宋体" w:cs="宋体"/>
          <w:sz w:val="24"/>
        </w:rPr>
      </w:pPr>
      <w:r>
        <w:rPr>
          <w:rFonts w:hint="eastAsia" w:ascii="宋体" w:hAnsi="宋体" w:eastAsia="宋体" w:cs="宋体"/>
          <w:b/>
          <w:bCs/>
          <w:sz w:val="24"/>
        </w:rPr>
        <w:t>比赛地点：</w:t>
      </w:r>
      <w:r>
        <w:rPr>
          <w:rFonts w:hint="eastAsia" w:ascii="宋体" w:hAnsi="宋体" w:eastAsia="宋体" w:cs="宋体"/>
          <w:sz w:val="24"/>
        </w:rPr>
        <w:t>参见教务系统课表安排</w:t>
      </w:r>
    </w:p>
    <w:p>
      <w:pPr>
        <w:pStyle w:val="12"/>
        <w:keepNext w:val="0"/>
        <w:keepLines w:val="0"/>
        <w:pageBreakBefore w:val="0"/>
        <w:kinsoku/>
        <w:overflowPunct/>
        <w:topLinePunct w:val="0"/>
        <w:bidi w:val="0"/>
        <w:snapToGrid/>
        <w:spacing w:line="440" w:lineRule="exact"/>
        <w:ind w:left="0" w:leftChars="0" w:firstLine="482" w:firstLineChars="200"/>
        <w:textAlignment w:val="auto"/>
        <w:rPr>
          <w:rFonts w:hint="eastAsia" w:ascii="宋体" w:hAnsi="宋体" w:eastAsia="宋体" w:cs="宋体"/>
          <w:sz w:val="24"/>
          <w:lang w:val="en-US" w:eastAsia="zh-CN"/>
        </w:rPr>
      </w:pPr>
      <w:r>
        <w:rPr>
          <w:rFonts w:hint="eastAsia" w:ascii="宋体" w:hAnsi="宋体" w:eastAsia="宋体" w:cs="宋体"/>
          <w:b/>
          <w:bCs/>
          <w:sz w:val="24"/>
        </w:rPr>
        <w:t>比赛时间：</w:t>
      </w:r>
      <w:r>
        <w:rPr>
          <w:rFonts w:hint="eastAsia" w:ascii="宋体" w:hAnsi="宋体" w:eastAsia="宋体" w:cs="宋体"/>
          <w:sz w:val="24"/>
        </w:rPr>
        <w:t>第二周周五</w:t>
      </w:r>
      <w:r>
        <w:rPr>
          <w:rFonts w:hint="eastAsia" w:ascii="宋体" w:hAnsi="宋体" w:eastAsia="宋体" w:cs="宋体"/>
          <w:sz w:val="24"/>
          <w:lang w:val="en-US" w:eastAsia="zh-CN"/>
        </w:rPr>
        <w:t>上午</w:t>
      </w:r>
    </w:p>
    <w:p>
      <w:pPr>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由各位参与公开赛的小组同学自行提前准备好本组演讲展示材料，于比赛当天拷贝到比赛现场的公共电脑当中，并确认可以正常播放。</w:t>
      </w:r>
    </w:p>
    <w:p>
      <w:pPr>
        <w:pStyle w:val="12"/>
        <w:keepNext w:val="0"/>
        <w:keepLines w:val="0"/>
        <w:pageBreakBefore w:val="0"/>
        <w:kinsoku/>
        <w:overflowPunct/>
        <w:topLinePunct w:val="0"/>
        <w:bidi w:val="0"/>
        <w:snapToGrid/>
        <w:spacing w:line="440" w:lineRule="exact"/>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比赛规则：</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1、先由每个团队组长上台抽签决定演讲顺序，按照顺序，每个团队依次上台演讲；演</w:t>
      </w:r>
      <w:r>
        <w:rPr>
          <w:rFonts w:hint="eastAsia" w:ascii="宋体" w:hAnsi="宋体" w:eastAsia="宋体" w:cs="宋体"/>
          <w:sz w:val="24"/>
          <w:lang w:val="en-US" w:eastAsia="zh-CN"/>
        </w:rPr>
        <w:t>讲</w:t>
      </w:r>
      <w:r>
        <w:rPr>
          <w:rFonts w:hint="eastAsia" w:ascii="宋体" w:hAnsi="宋体" w:eastAsia="宋体" w:cs="宋体"/>
          <w:sz w:val="24"/>
        </w:rPr>
        <w:t>时间必须在10分钟以内。</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2、演讲人数规定：每个团队演讲人数必须</w:t>
      </w:r>
      <w:r>
        <w:rPr>
          <w:rFonts w:hint="eastAsia" w:ascii="宋体" w:hAnsi="宋体" w:eastAsia="宋体" w:cs="宋体"/>
          <w:b/>
          <w:sz w:val="24"/>
        </w:rPr>
        <w:t>控制在</w:t>
      </w:r>
      <w:r>
        <w:rPr>
          <w:rFonts w:hint="eastAsia" w:ascii="宋体" w:hAnsi="宋体" w:eastAsia="宋体" w:cs="宋体"/>
          <w:b/>
          <w:sz w:val="24"/>
        </w:rPr>
        <w:t>2-3</w:t>
      </w:r>
      <w:r>
        <w:rPr>
          <w:rFonts w:hint="eastAsia" w:ascii="宋体" w:hAnsi="宋体" w:eastAsia="宋体" w:cs="宋体"/>
          <w:b/>
          <w:sz w:val="24"/>
        </w:rPr>
        <w:t>名之间</w:t>
      </w:r>
      <w:r>
        <w:rPr>
          <w:rFonts w:hint="eastAsia" w:ascii="宋体" w:hAnsi="宋体" w:eastAsia="宋体" w:cs="宋体"/>
          <w:sz w:val="24"/>
        </w:rPr>
        <w:t>，具体人选由团队内部自行协商决定。</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3、演讲结束后，该团队所有成员均上台，等待评委提问（一般2</w:t>
      </w:r>
      <w:r>
        <w:rPr>
          <w:rFonts w:hint="eastAsia" w:ascii="宋体" w:hAnsi="宋体" w:eastAsia="宋体" w:cs="宋体"/>
          <w:sz w:val="24"/>
        </w:rPr>
        <w:t>-3</w:t>
      </w:r>
      <w:r>
        <w:rPr>
          <w:rFonts w:hint="eastAsia" w:ascii="宋体" w:hAnsi="宋体" w:eastAsia="宋体" w:cs="宋体"/>
          <w:sz w:val="24"/>
        </w:rPr>
        <w:t>个问题）。问答采取即时进行的方式（团队中由一位学生代表回答，而且本组同学均可以进行补充）。</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4、学生回答问题的总时长控制在5分钟以内，累计回答时间到达</w:t>
      </w:r>
      <w:r>
        <w:rPr>
          <w:rFonts w:hint="eastAsia" w:ascii="宋体" w:hAnsi="宋体" w:eastAsia="宋体" w:cs="宋体"/>
          <w:sz w:val="24"/>
        </w:rPr>
        <w:t>5</w:t>
      </w:r>
      <w:r>
        <w:rPr>
          <w:rFonts w:hint="eastAsia" w:ascii="宋体" w:hAnsi="宋体" w:eastAsia="宋体" w:cs="宋体"/>
          <w:sz w:val="24"/>
        </w:rPr>
        <w:t>分钟时台下给出时间已到的说明，停止答题。</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5、评委将评分表交给学生统计该组学生的分数（可以指定一名专门负责分数统计的学生）。最后将各组学生的分数按由高到低进行排序，按照排名决定获胜队伍。</w:t>
      </w:r>
    </w:p>
    <w:p>
      <w:pPr>
        <w:pStyle w:val="12"/>
        <w:keepNext w:val="0"/>
        <w:keepLines w:val="0"/>
        <w:pageBreakBefore w:val="0"/>
        <w:kinsoku/>
        <w:overflowPunct/>
        <w:topLinePunct w:val="0"/>
        <w:bidi w:val="0"/>
        <w:snapToGrid/>
        <w:spacing w:line="440" w:lineRule="exact"/>
        <w:ind w:left="0" w:leftChars="0" w:firstLine="482" w:firstLineChars="200"/>
        <w:textAlignment w:val="auto"/>
        <w:rPr>
          <w:rFonts w:hint="eastAsia" w:ascii="宋体" w:hAnsi="宋体" w:eastAsia="宋体" w:cs="宋体"/>
          <w:sz w:val="24"/>
        </w:rPr>
      </w:pPr>
      <w:r>
        <w:rPr>
          <w:rFonts w:hint="eastAsia" w:ascii="宋体" w:hAnsi="宋体" w:eastAsia="宋体" w:cs="宋体"/>
          <w:b/>
          <w:bCs/>
          <w:sz w:val="24"/>
        </w:rPr>
        <w:t>比赛评委：</w:t>
      </w:r>
      <w:r>
        <w:rPr>
          <w:rFonts w:hint="eastAsia" w:ascii="宋体" w:hAnsi="宋体" w:eastAsia="宋体" w:cs="宋体"/>
          <w:sz w:val="24"/>
        </w:rPr>
        <w:t>赵大坤、魏英辉</w:t>
      </w:r>
      <w:r>
        <w:rPr>
          <w:rFonts w:hint="eastAsia" w:ascii="宋体" w:hAnsi="宋体" w:eastAsia="宋体" w:cs="宋体"/>
          <w:sz w:val="24"/>
          <w:lang w:eastAsia="zh-CN"/>
        </w:rPr>
        <w:t>、</w:t>
      </w:r>
      <w:r>
        <w:rPr>
          <w:rFonts w:hint="eastAsia" w:ascii="宋体" w:hAnsi="宋体" w:eastAsia="宋体" w:cs="宋体"/>
          <w:sz w:val="24"/>
          <w:lang w:val="en-US" w:eastAsia="zh-CN"/>
        </w:rPr>
        <w:t>外聘专家</w:t>
      </w:r>
      <w:r>
        <w:rPr>
          <w:rFonts w:hint="eastAsia" w:ascii="宋体" w:hAnsi="宋体" w:eastAsia="宋体" w:cs="宋体"/>
          <w:sz w:val="24"/>
        </w:rPr>
        <w:t>（</w:t>
      </w:r>
      <w:r>
        <w:rPr>
          <w:rFonts w:hint="eastAsia" w:ascii="宋体" w:hAnsi="宋体" w:eastAsia="宋体" w:cs="宋体"/>
          <w:sz w:val="24"/>
          <w:lang w:val="en-US" w:eastAsia="zh-CN"/>
        </w:rPr>
        <w:t>待</w:t>
      </w:r>
      <w:r>
        <w:rPr>
          <w:rFonts w:hint="eastAsia" w:ascii="宋体" w:hAnsi="宋体" w:eastAsia="宋体" w:cs="宋体"/>
          <w:sz w:val="24"/>
        </w:rPr>
        <w:t>定）</w:t>
      </w:r>
    </w:p>
    <w:p>
      <w:pPr>
        <w:pStyle w:val="12"/>
        <w:keepNext w:val="0"/>
        <w:keepLines w:val="0"/>
        <w:pageBreakBefore w:val="0"/>
        <w:kinsoku/>
        <w:overflowPunct/>
        <w:topLinePunct w:val="0"/>
        <w:bidi w:val="0"/>
        <w:snapToGrid/>
        <w:spacing w:line="440" w:lineRule="exact"/>
        <w:ind w:left="0" w:leftChars="0" w:firstLine="482" w:firstLineChars="200"/>
        <w:textAlignment w:val="auto"/>
        <w:rPr>
          <w:rFonts w:hint="eastAsia" w:ascii="宋体" w:hAnsi="宋体" w:eastAsia="宋体" w:cs="宋体"/>
          <w:b/>
          <w:bCs/>
          <w:sz w:val="24"/>
        </w:rPr>
      </w:pPr>
      <w:r>
        <w:rPr>
          <w:rFonts w:hint="eastAsia" w:ascii="宋体" w:hAnsi="宋体" w:eastAsia="宋体" w:cs="宋体"/>
          <w:b/>
          <w:bCs/>
          <w:sz w:val="24"/>
        </w:rPr>
        <w:t>公开赛奖项设置：</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一等奖1名   奖金</w:t>
      </w:r>
      <w:r>
        <w:rPr>
          <w:rFonts w:hint="eastAsia" w:ascii="宋体" w:hAnsi="宋体" w:eastAsia="宋体" w:cs="宋体"/>
          <w:sz w:val="24"/>
        </w:rPr>
        <w:t>1</w:t>
      </w:r>
      <w:r>
        <w:rPr>
          <w:rFonts w:hint="eastAsia" w:ascii="宋体" w:hAnsi="宋体" w:eastAsia="宋体" w:cs="宋体"/>
          <w:sz w:val="24"/>
        </w:rPr>
        <w:t>000元</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二等奖</w:t>
      </w:r>
      <w:r>
        <w:rPr>
          <w:rFonts w:hint="eastAsia" w:ascii="宋体" w:hAnsi="宋体" w:eastAsia="宋体" w:cs="宋体"/>
          <w:sz w:val="24"/>
        </w:rPr>
        <w:t>2</w:t>
      </w:r>
      <w:r>
        <w:rPr>
          <w:rFonts w:hint="eastAsia" w:ascii="宋体" w:hAnsi="宋体" w:eastAsia="宋体" w:cs="宋体"/>
          <w:sz w:val="24"/>
        </w:rPr>
        <w:t>名   奖金各</w:t>
      </w:r>
      <w:r>
        <w:rPr>
          <w:rFonts w:hint="eastAsia" w:ascii="宋体" w:hAnsi="宋体" w:eastAsia="宋体" w:cs="宋体"/>
          <w:sz w:val="24"/>
        </w:rPr>
        <w:t>8</w:t>
      </w:r>
      <w:r>
        <w:rPr>
          <w:rFonts w:hint="eastAsia" w:ascii="宋体" w:hAnsi="宋体" w:eastAsia="宋体" w:cs="宋体"/>
          <w:sz w:val="24"/>
        </w:rPr>
        <w:t>00元</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三等奖</w:t>
      </w:r>
      <w:r>
        <w:rPr>
          <w:rFonts w:hint="eastAsia" w:ascii="宋体" w:hAnsi="宋体" w:eastAsia="宋体" w:cs="宋体"/>
          <w:sz w:val="24"/>
        </w:rPr>
        <w:t>3</w:t>
      </w:r>
      <w:r>
        <w:rPr>
          <w:rFonts w:hint="eastAsia" w:ascii="宋体" w:hAnsi="宋体" w:eastAsia="宋体" w:cs="宋体"/>
          <w:sz w:val="24"/>
        </w:rPr>
        <w:t>名   奖金各</w:t>
      </w:r>
      <w:r>
        <w:rPr>
          <w:rFonts w:hint="eastAsia" w:ascii="宋体" w:hAnsi="宋体" w:eastAsia="宋体" w:cs="宋体"/>
          <w:sz w:val="24"/>
        </w:rPr>
        <w:t>5</w:t>
      </w:r>
      <w:r>
        <w:rPr>
          <w:rFonts w:hint="eastAsia" w:ascii="宋体" w:hAnsi="宋体" w:eastAsia="宋体" w:cs="宋体"/>
          <w:sz w:val="24"/>
        </w:rPr>
        <w:t>00元</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比赛结束后，现场统计成绩排名、公布名次、颁奖并进行总结。</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评分细则：</w:t>
      </w:r>
    </w:p>
    <w:tbl>
      <w:tblPr>
        <w:tblStyle w:val="7"/>
        <w:tblW w:w="936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Layout w:type="autofit"/>
        <w:tblCellMar>
          <w:top w:w="0" w:type="dxa"/>
          <w:left w:w="0" w:type="dxa"/>
          <w:bottom w:w="0" w:type="dxa"/>
          <w:right w:w="0" w:type="dxa"/>
        </w:tblCellMar>
      </w:tblPr>
      <w:tblGrid>
        <w:gridCol w:w="973"/>
        <w:gridCol w:w="5235"/>
        <w:gridCol w:w="1692"/>
        <w:gridCol w:w="14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356" w:hRule="atLeast"/>
          <w:tblHeader/>
          <w:jc w:val="center"/>
        </w:trPr>
        <w:tc>
          <w:tcPr>
            <w:tcW w:w="973" w:type="dxa"/>
            <w:tcBorders>
              <w:tl2br w:val="nil"/>
              <w:tr2bl w:val="nil"/>
            </w:tcBorders>
            <w:shd w:val="clear" w:color="auto" w:fill="auto"/>
            <w:tcMar>
              <w:left w:w="105" w:type="dxa"/>
              <w:right w:w="105" w:type="dxa"/>
            </w:tcMar>
          </w:tcPr>
          <w:p>
            <w:pPr>
              <w:pStyle w:val="6"/>
              <w:keepNext w:val="0"/>
              <w:keepLines w:val="0"/>
              <w:pageBreakBefore w:val="0"/>
              <w:widowControl/>
              <w:kinsoku/>
              <w:wordWrap w:val="0"/>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color w:val="000000"/>
                <w:sz w:val="21"/>
                <w:szCs w:val="21"/>
              </w:rPr>
            </w:pPr>
          </w:p>
        </w:tc>
        <w:tc>
          <w:tcPr>
            <w:tcW w:w="5235"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2" w:firstLineChars="200"/>
              <w:jc w:val="center"/>
              <w:textAlignment w:val="auto"/>
              <w:rPr>
                <w:rFonts w:hint="eastAsia" w:ascii="宋体" w:hAnsi="宋体" w:eastAsia="宋体" w:cs="宋体"/>
                <w:sz w:val="21"/>
                <w:szCs w:val="21"/>
              </w:rPr>
            </w:pPr>
            <w:r>
              <w:rPr>
                <w:rStyle w:val="9"/>
                <w:rFonts w:hint="eastAsia" w:ascii="宋体" w:hAnsi="宋体" w:eastAsia="宋体" w:cs="宋体"/>
                <w:color w:val="000000"/>
                <w:sz w:val="21"/>
                <w:szCs w:val="21"/>
              </w:rPr>
              <w:t>评分要点</w:t>
            </w:r>
          </w:p>
        </w:tc>
        <w:tc>
          <w:tcPr>
            <w:tcW w:w="1692"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jc w:val="center"/>
              <w:textAlignment w:val="auto"/>
              <w:rPr>
                <w:rFonts w:hint="eastAsia" w:ascii="宋体" w:hAnsi="宋体" w:eastAsia="宋体" w:cs="宋体"/>
                <w:sz w:val="21"/>
                <w:szCs w:val="21"/>
              </w:rPr>
            </w:pPr>
            <w:r>
              <w:rPr>
                <w:rStyle w:val="9"/>
                <w:rFonts w:hint="eastAsia" w:ascii="宋体" w:hAnsi="宋体" w:eastAsia="宋体" w:cs="宋体"/>
                <w:color w:val="000000"/>
                <w:sz w:val="21"/>
                <w:szCs w:val="21"/>
              </w:rPr>
              <w:t>分项权重(%)</w:t>
            </w:r>
          </w:p>
        </w:tc>
        <w:tc>
          <w:tcPr>
            <w:tcW w:w="1464"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jc w:val="center"/>
              <w:textAlignment w:val="auto"/>
              <w:rPr>
                <w:rFonts w:hint="eastAsia" w:ascii="宋体" w:hAnsi="宋体" w:eastAsia="宋体" w:cs="宋体"/>
                <w:sz w:val="21"/>
                <w:szCs w:val="21"/>
              </w:rPr>
            </w:pPr>
            <w:r>
              <w:rPr>
                <w:rStyle w:val="9"/>
                <w:rFonts w:hint="eastAsia" w:ascii="宋体" w:hAnsi="宋体" w:eastAsia="宋体" w:cs="宋体"/>
                <w:color w:val="000000"/>
                <w:sz w:val="21"/>
                <w:szCs w:val="21"/>
              </w:rPr>
              <w:t>总权重(%)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544" w:hRule="atLeast"/>
          <w:jc w:val="center"/>
        </w:trPr>
        <w:tc>
          <w:tcPr>
            <w:tcW w:w="973" w:type="dxa"/>
            <w:vMerge w:val="restart"/>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jc w:val="both"/>
              <w:textAlignment w:val="auto"/>
              <w:rPr>
                <w:rFonts w:hint="eastAsia" w:ascii="宋体" w:hAnsi="宋体" w:eastAsia="宋体" w:cs="宋体"/>
                <w:sz w:val="21"/>
                <w:szCs w:val="21"/>
              </w:rPr>
            </w:pPr>
            <w:r>
              <w:rPr>
                <w:rStyle w:val="9"/>
                <w:rFonts w:hint="eastAsia" w:ascii="宋体" w:hAnsi="宋体" w:eastAsia="宋体" w:cs="宋体"/>
                <w:color w:val="000000"/>
                <w:sz w:val="21"/>
                <w:szCs w:val="21"/>
              </w:rPr>
              <w:t>内容</w:t>
            </w:r>
          </w:p>
        </w:tc>
        <w:tc>
          <w:tcPr>
            <w:tcW w:w="5235"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策略设计应至少包含投资目标、风险控制、资产配置、绩效评估等金融投资策略设计的基本内容，体现出金融资产配置策略的基本要求。</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20</w:t>
            </w:r>
          </w:p>
        </w:tc>
        <w:tc>
          <w:tcPr>
            <w:tcW w:w="1464" w:type="dxa"/>
            <w:vMerge w:val="restart"/>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90" w:hRule="atLeast"/>
          <w:jc w:val="center"/>
        </w:trPr>
        <w:tc>
          <w:tcPr>
            <w:tcW w:w="973" w:type="dxa"/>
            <w:vMerge w:val="continue"/>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380" w:firstLineChars="200"/>
              <w:textAlignment w:val="auto"/>
              <w:rPr>
                <w:rFonts w:hint="eastAsia" w:ascii="宋体" w:hAnsi="宋体" w:eastAsia="宋体" w:cs="宋体"/>
                <w:color w:val="333333"/>
                <w:sz w:val="19"/>
                <w:szCs w:val="19"/>
              </w:rPr>
            </w:pPr>
          </w:p>
        </w:tc>
        <w:tc>
          <w:tcPr>
            <w:tcW w:w="5235"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资产配置策略设计完整有效，能够反映出金融投资中风险收益配置的一般特征，能体现当前投资市场的真实金融投资策略的设计思想与理念，具有一定的创新性且合理可行。</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tc>
        <w:tc>
          <w:tcPr>
            <w:tcW w:w="1464" w:type="dxa"/>
            <w:vMerge w:val="continue"/>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380" w:firstLineChars="200"/>
              <w:jc w:val="center"/>
              <w:textAlignment w:val="auto"/>
              <w:rPr>
                <w:rFonts w:hint="eastAsia" w:ascii="宋体" w:hAnsi="宋体" w:eastAsia="宋体" w:cs="宋体"/>
                <w:color w:val="333333"/>
                <w:sz w:val="19"/>
                <w:szCs w:val="19"/>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842" w:hRule="atLeast"/>
          <w:jc w:val="center"/>
        </w:trPr>
        <w:tc>
          <w:tcPr>
            <w:tcW w:w="973" w:type="dxa"/>
            <w:vMerge w:val="continue"/>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380" w:firstLineChars="200"/>
              <w:textAlignment w:val="auto"/>
              <w:rPr>
                <w:rFonts w:hint="eastAsia" w:ascii="宋体" w:hAnsi="宋体" w:eastAsia="宋体" w:cs="宋体"/>
                <w:color w:val="333333"/>
                <w:sz w:val="19"/>
                <w:szCs w:val="19"/>
              </w:rPr>
            </w:pPr>
          </w:p>
        </w:tc>
        <w:tc>
          <w:tcPr>
            <w:tcW w:w="5235"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策略设计上风险控制机制清晰明确，能对投资活动的可能的和潜在的风险具有抑制和分散功效，方案风控水平高。</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1464" w:type="dxa"/>
            <w:vMerge w:val="continue"/>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380" w:firstLineChars="200"/>
              <w:jc w:val="center"/>
              <w:textAlignment w:val="auto"/>
              <w:rPr>
                <w:rFonts w:hint="eastAsia" w:ascii="宋体" w:hAnsi="宋体" w:eastAsia="宋体" w:cs="宋体"/>
                <w:color w:val="333333"/>
                <w:sz w:val="19"/>
                <w:szCs w:val="19"/>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842" w:hRule="atLeast"/>
          <w:jc w:val="center"/>
        </w:trPr>
        <w:tc>
          <w:tcPr>
            <w:tcW w:w="973" w:type="dxa"/>
            <w:vMerge w:val="restart"/>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jc w:val="both"/>
              <w:textAlignment w:val="auto"/>
              <w:rPr>
                <w:rStyle w:val="9"/>
                <w:rFonts w:hint="eastAsia" w:ascii="宋体" w:hAnsi="宋体" w:eastAsia="宋体" w:cs="宋体"/>
                <w:color w:val="000000"/>
                <w:sz w:val="21"/>
                <w:szCs w:val="21"/>
              </w:rPr>
            </w:pPr>
            <w:r>
              <w:rPr>
                <w:rStyle w:val="9"/>
                <w:rFonts w:hint="eastAsia" w:ascii="宋体" w:hAnsi="宋体" w:eastAsia="宋体" w:cs="宋体"/>
                <w:color w:val="000000"/>
                <w:sz w:val="21"/>
                <w:szCs w:val="21"/>
              </w:rPr>
              <w:t>展示</w:t>
            </w:r>
          </w:p>
        </w:tc>
        <w:tc>
          <w:tcPr>
            <w:tcW w:w="5235"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资产配置策略分析报告的基本格式规范，排版美观，文字语言表达专业、流畅、通俗易懂。</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tc>
        <w:tc>
          <w:tcPr>
            <w:tcW w:w="1464" w:type="dxa"/>
            <w:vMerge w:val="restart"/>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842" w:hRule="atLeast"/>
          <w:jc w:val="center"/>
        </w:trPr>
        <w:tc>
          <w:tcPr>
            <w:tcW w:w="973" w:type="dxa"/>
            <w:vMerge w:val="continue"/>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2" w:firstLineChars="200"/>
              <w:jc w:val="center"/>
              <w:textAlignment w:val="auto"/>
              <w:rPr>
                <w:rStyle w:val="9"/>
                <w:rFonts w:hint="eastAsia" w:ascii="宋体" w:hAnsi="宋体" w:eastAsia="宋体" w:cs="宋体"/>
                <w:color w:val="000000"/>
                <w:sz w:val="21"/>
                <w:szCs w:val="21"/>
              </w:rPr>
            </w:pPr>
          </w:p>
        </w:tc>
        <w:tc>
          <w:tcPr>
            <w:tcW w:w="5235"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展示材料制作美观</w:t>
            </w:r>
            <w:r>
              <w:rPr>
                <w:rFonts w:hint="eastAsia" w:ascii="宋体" w:hAnsi="宋体" w:eastAsia="宋体" w:cs="宋体"/>
                <w:color w:val="000000"/>
                <w:sz w:val="21"/>
                <w:szCs w:val="21"/>
              </w:rPr>
              <w:t>，阐述观点正确，逻辑</w:t>
            </w:r>
            <w:r>
              <w:rPr>
                <w:rFonts w:hint="eastAsia" w:ascii="宋体" w:hAnsi="宋体" w:eastAsia="宋体" w:cs="宋体"/>
                <w:sz w:val="21"/>
                <w:szCs w:val="21"/>
              </w:rPr>
              <w:t>思路清晰，</w:t>
            </w:r>
            <w:r>
              <w:rPr>
                <w:rFonts w:hint="eastAsia" w:ascii="宋体" w:hAnsi="宋体" w:eastAsia="宋体" w:cs="宋体"/>
                <w:color w:val="000000"/>
                <w:sz w:val="21"/>
                <w:szCs w:val="21"/>
              </w:rPr>
              <w:t>答辩过程中展现出良好</w:t>
            </w:r>
            <w:r>
              <w:rPr>
                <w:rFonts w:hint="eastAsia" w:ascii="宋体" w:hAnsi="宋体" w:eastAsia="宋体" w:cs="宋体"/>
                <w:sz w:val="21"/>
                <w:szCs w:val="21"/>
              </w:rPr>
              <w:t>分析能力及应变能力。</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sz w:val="21"/>
                <w:szCs w:val="21"/>
              </w:rPr>
              <w:t>10</w:t>
            </w:r>
          </w:p>
        </w:tc>
        <w:tc>
          <w:tcPr>
            <w:tcW w:w="1464" w:type="dxa"/>
            <w:vMerge w:val="continue"/>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color w:val="000000"/>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842" w:hRule="atLeast"/>
          <w:jc w:val="center"/>
        </w:trPr>
        <w:tc>
          <w:tcPr>
            <w:tcW w:w="973" w:type="dxa"/>
            <w:vMerge w:val="restart"/>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jc w:val="both"/>
              <w:textAlignment w:val="auto"/>
              <w:rPr>
                <w:rFonts w:hint="eastAsia" w:ascii="宋体" w:hAnsi="宋体" w:eastAsia="宋体" w:cs="宋体"/>
                <w:color w:val="333333"/>
                <w:sz w:val="19"/>
                <w:szCs w:val="19"/>
              </w:rPr>
            </w:pPr>
            <w:r>
              <w:rPr>
                <w:rStyle w:val="9"/>
                <w:rFonts w:hint="eastAsia" w:ascii="宋体" w:hAnsi="宋体" w:eastAsia="宋体" w:cs="宋体"/>
                <w:color w:val="000000"/>
                <w:kern w:val="0"/>
                <w:szCs w:val="21"/>
                <w:lang w:bidi="ar"/>
              </w:rPr>
              <w:t>实践</w:t>
            </w:r>
          </w:p>
        </w:tc>
        <w:tc>
          <w:tcPr>
            <w:tcW w:w="5235"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交易记录有简要操作理由，涵盖具体交易数量、价格、操作方向等内容。</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20</w:t>
            </w:r>
          </w:p>
        </w:tc>
        <w:tc>
          <w:tcPr>
            <w:tcW w:w="1464" w:type="dxa"/>
            <w:vMerge w:val="restart"/>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420" w:firstLineChars="200"/>
              <w:jc w:val="center"/>
              <w:textAlignment w:val="auto"/>
              <w:rPr>
                <w:rFonts w:hint="eastAsia" w:ascii="宋体" w:hAnsi="宋体" w:eastAsia="宋体" w:cs="宋体"/>
                <w:color w:val="333333"/>
                <w:sz w:val="19"/>
                <w:szCs w:val="19"/>
              </w:rPr>
            </w:pPr>
            <w:r>
              <w:rPr>
                <w:rFonts w:hint="eastAsia" w:ascii="宋体" w:hAnsi="宋体" w:eastAsia="宋体" w:cs="宋体"/>
                <w:kern w:val="0"/>
                <w:szCs w:val="21"/>
                <w:lang w:bidi="ar"/>
              </w:rPr>
              <w:t>40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jc w:val="center"/>
        </w:trPr>
        <w:tc>
          <w:tcPr>
            <w:tcW w:w="973" w:type="dxa"/>
            <w:vMerge w:val="continue"/>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380" w:firstLineChars="200"/>
              <w:textAlignment w:val="auto"/>
              <w:rPr>
                <w:rFonts w:hint="eastAsia" w:ascii="宋体" w:hAnsi="宋体" w:eastAsia="宋体" w:cs="宋体"/>
                <w:color w:val="333333"/>
                <w:sz w:val="19"/>
                <w:szCs w:val="19"/>
              </w:rPr>
            </w:pPr>
          </w:p>
        </w:tc>
        <w:tc>
          <w:tcPr>
            <w:tcW w:w="5235"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shd w:val="clear" w:color="auto" w:fill="FFFFFF"/>
              </w:rPr>
              <w:t>已在虚拟仿真环境中加以运用，并取得较好效果，资产组合模拟交易大赛中有交易记录和排名。</w:t>
            </w:r>
          </w:p>
        </w:tc>
        <w:tc>
          <w:tcPr>
            <w:tcW w:w="1692" w:type="dxa"/>
            <w:tcBorders>
              <w:tl2br w:val="nil"/>
              <w:tr2bl w:val="nil"/>
            </w:tcBorders>
            <w:shd w:val="clear" w:color="auto" w:fill="auto"/>
            <w:tcMar>
              <w:left w:w="105" w:type="dxa"/>
              <w:right w:w="105" w:type="dxa"/>
            </w:tcMar>
            <w:vAlign w:val="cente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20</w:t>
            </w:r>
          </w:p>
        </w:tc>
        <w:tc>
          <w:tcPr>
            <w:tcW w:w="1464" w:type="dxa"/>
            <w:vMerge w:val="continue"/>
            <w:tcBorders>
              <w:tl2br w:val="nil"/>
              <w:tr2bl w:val="nil"/>
            </w:tcBorders>
            <w:shd w:val="clear" w:color="auto" w:fill="auto"/>
            <w:tcMar>
              <w:left w:w="105" w:type="dxa"/>
              <w:right w:w="105" w:type="dxa"/>
            </w:tcMar>
            <w:vAlign w:val="center"/>
          </w:tcPr>
          <w:p>
            <w:pPr>
              <w:keepNext w:val="0"/>
              <w:keepLines w:val="0"/>
              <w:pageBreakBefore w:val="0"/>
              <w:kinsoku/>
              <w:overflowPunct/>
              <w:topLinePunct w:val="0"/>
              <w:bidi w:val="0"/>
              <w:snapToGrid/>
              <w:spacing w:line="240" w:lineRule="auto"/>
              <w:ind w:left="0" w:leftChars="0" w:firstLine="380" w:firstLineChars="200"/>
              <w:textAlignment w:val="auto"/>
              <w:rPr>
                <w:rFonts w:hint="eastAsia" w:ascii="宋体" w:hAnsi="宋体" w:eastAsia="宋体" w:cs="宋体"/>
                <w:color w:val="333333"/>
                <w:sz w:val="19"/>
                <w:szCs w:val="19"/>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2" w:hRule="atLeast"/>
          <w:jc w:val="center"/>
        </w:trPr>
        <w:tc>
          <w:tcPr>
            <w:tcW w:w="7900" w:type="dxa"/>
            <w:gridSpan w:val="3"/>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合计</w:t>
            </w:r>
          </w:p>
        </w:tc>
        <w:tc>
          <w:tcPr>
            <w:tcW w:w="1464" w:type="dxa"/>
            <w:tcBorders>
              <w:tl2br w:val="nil"/>
              <w:tr2bl w:val="nil"/>
            </w:tcBorders>
            <w:shd w:val="clear" w:color="auto" w:fill="auto"/>
            <w:tcMar>
              <w:left w:w="105" w:type="dxa"/>
              <w:right w:w="105" w:type="dxa"/>
            </w:tcMar>
          </w:tcPr>
          <w:p>
            <w:pPr>
              <w:pStyle w:val="6"/>
              <w:keepNext w:val="0"/>
              <w:keepLines w:val="0"/>
              <w:pageBreakBefore w:val="0"/>
              <w:widowControl/>
              <w:kinsoku/>
              <w:overflowPunct/>
              <w:topLinePunct w:val="0"/>
              <w:bidi w:val="0"/>
              <w:snapToGrid/>
              <w:spacing w:before="0" w:beforeAutospacing="0" w:after="0" w:afterAutospacing="0" w:line="240" w:lineRule="auto"/>
              <w:ind w:left="0" w:leftChars="0" w:firstLine="420" w:firstLineChars="20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100</w:t>
            </w:r>
          </w:p>
        </w:tc>
      </w:tr>
    </w:tbl>
    <w:p>
      <w:pPr>
        <w:pStyle w:val="12"/>
        <w:keepNext w:val="0"/>
        <w:keepLines w:val="0"/>
        <w:pageBreakBefore w:val="0"/>
        <w:numPr>
          <w:ilvl w:val="0"/>
          <w:numId w:val="3"/>
        </w:numPr>
        <w:kinsoku/>
        <w:overflowPunct/>
        <w:topLinePunct w:val="0"/>
        <w:bidi w:val="0"/>
        <w:snapToGrid/>
        <w:spacing w:line="440" w:lineRule="exact"/>
        <w:ind w:left="0" w:leftChars="0" w:firstLine="482" w:firstLineChars="200"/>
        <w:textAlignment w:val="auto"/>
        <w:rPr>
          <w:rFonts w:hint="eastAsia" w:ascii="宋体" w:hAnsi="宋体" w:eastAsia="宋体" w:cs="宋体"/>
          <w:b/>
          <w:sz w:val="24"/>
        </w:rPr>
      </w:pPr>
      <w:r>
        <w:rPr>
          <w:rFonts w:hint="eastAsia" w:ascii="宋体" w:hAnsi="宋体" w:eastAsia="宋体" w:cs="宋体"/>
          <w:b/>
          <w:sz w:val="24"/>
        </w:rPr>
        <w:t>实习安全管理规定</w:t>
      </w:r>
    </w:p>
    <w:p>
      <w:pPr>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根据学校实习管理相关规定，暑期实践周开始时教师应向学生郑重说明相关安全管理事项，学生应该服从实习指导教师的安排，接受安全教育，认真履行相关安全管理规定；具体安全管理规定可以参见“附件3：厦门大学嘉庚学院学生实习安全管理规定”，请同学们仔细阅读。</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lang w:val="en-US" w:eastAsia="zh-CN"/>
        </w:rPr>
      </w:pPr>
    </w:p>
    <w:p>
      <w:pPr>
        <w:pStyle w:val="12"/>
        <w:keepNext w:val="0"/>
        <w:keepLines w:val="0"/>
        <w:pageBreakBefore w:val="0"/>
        <w:kinsoku/>
        <w:overflowPunct/>
        <w:topLinePunct w:val="0"/>
        <w:bidi w:val="0"/>
        <w:snapToGrid/>
        <w:spacing w:line="440" w:lineRule="exact"/>
        <w:ind w:left="0" w:leftChars="0" w:firstLine="6000" w:firstLineChars="2500"/>
        <w:textAlignment w:val="auto"/>
        <w:rPr>
          <w:rFonts w:hint="eastAsia" w:ascii="宋体" w:hAnsi="宋体" w:eastAsia="宋体" w:cs="宋体"/>
          <w:sz w:val="24"/>
        </w:rPr>
      </w:pPr>
      <w:r>
        <w:rPr>
          <w:rFonts w:hint="eastAsia" w:ascii="宋体" w:hAnsi="宋体" w:eastAsia="宋体" w:cs="宋体"/>
          <w:sz w:val="24"/>
        </w:rPr>
        <w:t xml:space="preserve">  </w:t>
      </w:r>
      <w:bookmarkStart w:id="0" w:name="_GoBack"/>
      <w:r>
        <w:rPr>
          <w:rFonts w:hint="eastAsia" w:ascii="宋体" w:hAnsi="宋体" w:eastAsia="宋体" w:cs="宋体"/>
          <w:sz w:val="24"/>
        </w:rPr>
        <w:t>会计与金融学院</w:t>
      </w:r>
    </w:p>
    <w:p>
      <w:pPr>
        <w:pStyle w:val="12"/>
        <w:keepNext w:val="0"/>
        <w:keepLines w:val="0"/>
        <w:pageBreakBefore w:val="0"/>
        <w:kinsoku/>
        <w:overflowPunct/>
        <w:topLinePunct w:val="0"/>
        <w:bidi w:val="0"/>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 xml:space="preserve">                                               20</w:t>
      </w:r>
      <w:r>
        <w:rPr>
          <w:rFonts w:hint="eastAsia" w:ascii="宋体" w:hAnsi="宋体" w:eastAsia="宋体" w:cs="宋体"/>
          <w:sz w:val="24"/>
        </w:rPr>
        <w:t>2</w:t>
      </w:r>
      <w:r>
        <w:rPr>
          <w:rFonts w:hint="eastAsia" w:ascii="宋体" w:hAnsi="宋体" w:eastAsia="宋体" w:cs="宋体"/>
          <w:sz w:val="24"/>
          <w:lang w:val="en-US" w:eastAsia="zh-CN"/>
        </w:rPr>
        <w:t>3年</w:t>
      </w:r>
      <w:r>
        <w:rPr>
          <w:rFonts w:hint="eastAsia" w:ascii="宋体" w:hAnsi="宋体" w:eastAsia="宋体" w:cs="宋体"/>
          <w:sz w:val="24"/>
        </w:rPr>
        <w:t>6</w:t>
      </w:r>
      <w:r>
        <w:rPr>
          <w:rFonts w:hint="eastAsia" w:ascii="宋体" w:hAnsi="宋体" w:eastAsia="宋体" w:cs="宋体"/>
          <w:sz w:val="24"/>
          <w:lang w:val="en-US" w:eastAsia="zh-CN"/>
        </w:rPr>
        <w:t>月8日</w:t>
      </w: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97A4E"/>
    <w:multiLevelType w:val="multilevel"/>
    <w:tmpl w:val="25F97A4E"/>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31815B39"/>
    <w:multiLevelType w:val="multilevel"/>
    <w:tmpl w:val="31815B39"/>
    <w:lvl w:ilvl="0" w:tentative="0">
      <w:start w:val="5"/>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EC35AF4"/>
    <w:multiLevelType w:val="multilevel"/>
    <w:tmpl w:val="4EC35AF4"/>
    <w:lvl w:ilvl="0" w:tentative="0">
      <w:start w:val="1"/>
      <w:numFmt w:val="japaneseCounting"/>
      <w:lvlText w:val="%1、"/>
      <w:lvlJc w:val="left"/>
      <w:pPr>
        <w:ind w:left="1155" w:hanging="420"/>
      </w:pPr>
      <w:rPr>
        <w:rFonts w:hint="default"/>
      </w:rPr>
    </w:lvl>
    <w:lvl w:ilvl="1" w:tentative="0">
      <w:start w:val="1"/>
      <w:numFmt w:val="lowerLetter"/>
      <w:lvlText w:val="%2)"/>
      <w:lvlJc w:val="left"/>
      <w:pPr>
        <w:ind w:left="1575" w:hanging="420"/>
      </w:pPr>
    </w:lvl>
    <w:lvl w:ilvl="2" w:tentative="0">
      <w:start w:val="1"/>
      <w:numFmt w:val="lowerRoman"/>
      <w:lvlText w:val="%3."/>
      <w:lvlJc w:val="right"/>
      <w:pPr>
        <w:ind w:left="1995" w:hanging="420"/>
      </w:pPr>
    </w:lvl>
    <w:lvl w:ilvl="3" w:tentative="0">
      <w:start w:val="1"/>
      <w:numFmt w:val="decimal"/>
      <w:lvlText w:val="%4."/>
      <w:lvlJc w:val="left"/>
      <w:pPr>
        <w:ind w:left="2415" w:hanging="420"/>
      </w:pPr>
    </w:lvl>
    <w:lvl w:ilvl="4" w:tentative="0">
      <w:start w:val="1"/>
      <w:numFmt w:val="lowerLetter"/>
      <w:lvlText w:val="%5)"/>
      <w:lvlJc w:val="left"/>
      <w:pPr>
        <w:ind w:left="2835" w:hanging="420"/>
      </w:pPr>
    </w:lvl>
    <w:lvl w:ilvl="5" w:tentative="0">
      <w:start w:val="1"/>
      <w:numFmt w:val="lowerRoman"/>
      <w:lvlText w:val="%6."/>
      <w:lvlJc w:val="right"/>
      <w:pPr>
        <w:ind w:left="3255" w:hanging="420"/>
      </w:pPr>
    </w:lvl>
    <w:lvl w:ilvl="6" w:tentative="0">
      <w:start w:val="1"/>
      <w:numFmt w:val="decimal"/>
      <w:lvlText w:val="%7."/>
      <w:lvlJc w:val="left"/>
      <w:pPr>
        <w:ind w:left="3675" w:hanging="420"/>
      </w:pPr>
    </w:lvl>
    <w:lvl w:ilvl="7" w:tentative="0">
      <w:start w:val="1"/>
      <w:numFmt w:val="lowerLetter"/>
      <w:lvlText w:val="%8)"/>
      <w:lvlJc w:val="left"/>
      <w:pPr>
        <w:ind w:left="4095" w:hanging="420"/>
      </w:pPr>
    </w:lvl>
    <w:lvl w:ilvl="8" w:tentative="0">
      <w:start w:val="1"/>
      <w:numFmt w:val="lowerRoman"/>
      <w:lvlText w:val="%9."/>
      <w:lvlJc w:val="right"/>
      <w:pPr>
        <w:ind w:left="4515"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FlZWFiNWZiZTExMWMyOWE0OGM2YjcwZGUyNzc0NTcifQ=="/>
  </w:docVars>
  <w:rsids>
    <w:rsidRoot w:val="00484294"/>
    <w:rsid w:val="00003F33"/>
    <w:rsid w:val="0002723A"/>
    <w:rsid w:val="0002797F"/>
    <w:rsid w:val="00030CCD"/>
    <w:rsid w:val="00051303"/>
    <w:rsid w:val="00053C22"/>
    <w:rsid w:val="000630E8"/>
    <w:rsid w:val="000A2905"/>
    <w:rsid w:val="000E702D"/>
    <w:rsid w:val="000F3213"/>
    <w:rsid w:val="001128BE"/>
    <w:rsid w:val="001224EA"/>
    <w:rsid w:val="00134508"/>
    <w:rsid w:val="001636F8"/>
    <w:rsid w:val="00192D44"/>
    <w:rsid w:val="001C5A28"/>
    <w:rsid w:val="00237299"/>
    <w:rsid w:val="00253A25"/>
    <w:rsid w:val="00254EF6"/>
    <w:rsid w:val="00277645"/>
    <w:rsid w:val="00280F53"/>
    <w:rsid w:val="00284DF8"/>
    <w:rsid w:val="00286F2B"/>
    <w:rsid w:val="002B24ED"/>
    <w:rsid w:val="002E282B"/>
    <w:rsid w:val="002F1282"/>
    <w:rsid w:val="00306CC0"/>
    <w:rsid w:val="00313BBF"/>
    <w:rsid w:val="003341B8"/>
    <w:rsid w:val="00336024"/>
    <w:rsid w:val="00341FAE"/>
    <w:rsid w:val="0035129A"/>
    <w:rsid w:val="00356623"/>
    <w:rsid w:val="003948C6"/>
    <w:rsid w:val="003A3EF3"/>
    <w:rsid w:val="003E19C6"/>
    <w:rsid w:val="003E3E4C"/>
    <w:rsid w:val="00416133"/>
    <w:rsid w:val="00433008"/>
    <w:rsid w:val="004401AC"/>
    <w:rsid w:val="00443F10"/>
    <w:rsid w:val="004640CA"/>
    <w:rsid w:val="00483FC5"/>
    <w:rsid w:val="00484294"/>
    <w:rsid w:val="00487C47"/>
    <w:rsid w:val="00491B34"/>
    <w:rsid w:val="004D36A9"/>
    <w:rsid w:val="004F0F03"/>
    <w:rsid w:val="005234BA"/>
    <w:rsid w:val="005456B1"/>
    <w:rsid w:val="005542CD"/>
    <w:rsid w:val="00563B03"/>
    <w:rsid w:val="0058212D"/>
    <w:rsid w:val="005A1D2D"/>
    <w:rsid w:val="005C5BBC"/>
    <w:rsid w:val="005C76A5"/>
    <w:rsid w:val="005D6973"/>
    <w:rsid w:val="005E3AC6"/>
    <w:rsid w:val="005F79A8"/>
    <w:rsid w:val="00615FAD"/>
    <w:rsid w:val="00624013"/>
    <w:rsid w:val="00652464"/>
    <w:rsid w:val="006802FB"/>
    <w:rsid w:val="006827BE"/>
    <w:rsid w:val="00684ADE"/>
    <w:rsid w:val="00690CF1"/>
    <w:rsid w:val="00692562"/>
    <w:rsid w:val="006A053C"/>
    <w:rsid w:val="006B0298"/>
    <w:rsid w:val="00713EE2"/>
    <w:rsid w:val="00735F91"/>
    <w:rsid w:val="00754473"/>
    <w:rsid w:val="007745BE"/>
    <w:rsid w:val="0077699D"/>
    <w:rsid w:val="007E5134"/>
    <w:rsid w:val="0080359F"/>
    <w:rsid w:val="00812E3C"/>
    <w:rsid w:val="00823963"/>
    <w:rsid w:val="008339A4"/>
    <w:rsid w:val="00847EBA"/>
    <w:rsid w:val="00863ADE"/>
    <w:rsid w:val="008A18E3"/>
    <w:rsid w:val="008F0CD7"/>
    <w:rsid w:val="009032EC"/>
    <w:rsid w:val="009073CC"/>
    <w:rsid w:val="00915991"/>
    <w:rsid w:val="00916468"/>
    <w:rsid w:val="009176BF"/>
    <w:rsid w:val="009215DD"/>
    <w:rsid w:val="00933DB3"/>
    <w:rsid w:val="00941C39"/>
    <w:rsid w:val="009B2D4D"/>
    <w:rsid w:val="009D48D1"/>
    <w:rsid w:val="00A81645"/>
    <w:rsid w:val="00AA1DDF"/>
    <w:rsid w:val="00AC074A"/>
    <w:rsid w:val="00AD10E6"/>
    <w:rsid w:val="00AD4284"/>
    <w:rsid w:val="00B1630C"/>
    <w:rsid w:val="00B20EC5"/>
    <w:rsid w:val="00B403CB"/>
    <w:rsid w:val="00B43418"/>
    <w:rsid w:val="00B757C0"/>
    <w:rsid w:val="00B9223E"/>
    <w:rsid w:val="00BB0304"/>
    <w:rsid w:val="00BD3C2A"/>
    <w:rsid w:val="00C15187"/>
    <w:rsid w:val="00C34CC4"/>
    <w:rsid w:val="00C60D35"/>
    <w:rsid w:val="00C8447C"/>
    <w:rsid w:val="00CA3402"/>
    <w:rsid w:val="00CE0538"/>
    <w:rsid w:val="00CE0DF7"/>
    <w:rsid w:val="00D01FCE"/>
    <w:rsid w:val="00D11AA5"/>
    <w:rsid w:val="00D171C3"/>
    <w:rsid w:val="00D34F1B"/>
    <w:rsid w:val="00D541CE"/>
    <w:rsid w:val="00D66722"/>
    <w:rsid w:val="00D71746"/>
    <w:rsid w:val="00D97EEB"/>
    <w:rsid w:val="00DA52CC"/>
    <w:rsid w:val="00E23D19"/>
    <w:rsid w:val="00E354D0"/>
    <w:rsid w:val="00E60982"/>
    <w:rsid w:val="00EB0702"/>
    <w:rsid w:val="00EE32CE"/>
    <w:rsid w:val="00F001DE"/>
    <w:rsid w:val="00F17770"/>
    <w:rsid w:val="00F20D5A"/>
    <w:rsid w:val="00F26244"/>
    <w:rsid w:val="00F610E1"/>
    <w:rsid w:val="00F85B7F"/>
    <w:rsid w:val="00F93024"/>
    <w:rsid w:val="00F96394"/>
    <w:rsid w:val="00FF7427"/>
    <w:rsid w:val="0257728E"/>
    <w:rsid w:val="03D97C39"/>
    <w:rsid w:val="04E470A0"/>
    <w:rsid w:val="075F150C"/>
    <w:rsid w:val="082B36C8"/>
    <w:rsid w:val="08F55FF8"/>
    <w:rsid w:val="091361A6"/>
    <w:rsid w:val="094E50D2"/>
    <w:rsid w:val="0A7D7D7B"/>
    <w:rsid w:val="0A920ABD"/>
    <w:rsid w:val="0AD342F0"/>
    <w:rsid w:val="0B1B1342"/>
    <w:rsid w:val="0CA5180B"/>
    <w:rsid w:val="0CC35641"/>
    <w:rsid w:val="0D3771FD"/>
    <w:rsid w:val="0E813BB2"/>
    <w:rsid w:val="0FB32491"/>
    <w:rsid w:val="101E52A0"/>
    <w:rsid w:val="13B30138"/>
    <w:rsid w:val="13CB4EE3"/>
    <w:rsid w:val="14007B54"/>
    <w:rsid w:val="14293CA4"/>
    <w:rsid w:val="165E1E54"/>
    <w:rsid w:val="19151AC7"/>
    <w:rsid w:val="1A0E029D"/>
    <w:rsid w:val="1AF8344E"/>
    <w:rsid w:val="1B0D4C89"/>
    <w:rsid w:val="20C56042"/>
    <w:rsid w:val="20ED7FD0"/>
    <w:rsid w:val="216962BD"/>
    <w:rsid w:val="28881F21"/>
    <w:rsid w:val="2DBB4593"/>
    <w:rsid w:val="2EF835C5"/>
    <w:rsid w:val="314D2F5C"/>
    <w:rsid w:val="31B61C41"/>
    <w:rsid w:val="336D27D3"/>
    <w:rsid w:val="34EF1D53"/>
    <w:rsid w:val="35042CC3"/>
    <w:rsid w:val="38635F53"/>
    <w:rsid w:val="39CB0B42"/>
    <w:rsid w:val="39FA7AAD"/>
    <w:rsid w:val="3B280FF6"/>
    <w:rsid w:val="3B2C087E"/>
    <w:rsid w:val="3C965237"/>
    <w:rsid w:val="3CE02FA5"/>
    <w:rsid w:val="3CEE2829"/>
    <w:rsid w:val="3F453540"/>
    <w:rsid w:val="3F5E5951"/>
    <w:rsid w:val="432C621C"/>
    <w:rsid w:val="43A17E3E"/>
    <w:rsid w:val="46380A1F"/>
    <w:rsid w:val="47A619B8"/>
    <w:rsid w:val="497D35E7"/>
    <w:rsid w:val="4ACF1226"/>
    <w:rsid w:val="4B7E0479"/>
    <w:rsid w:val="4C0F1846"/>
    <w:rsid w:val="4C452244"/>
    <w:rsid w:val="4C9149E5"/>
    <w:rsid w:val="4D1E6C13"/>
    <w:rsid w:val="4D5944A1"/>
    <w:rsid w:val="4D5D0D6B"/>
    <w:rsid w:val="4DCD5EF0"/>
    <w:rsid w:val="4E8C15C7"/>
    <w:rsid w:val="4F5839F6"/>
    <w:rsid w:val="50293B1A"/>
    <w:rsid w:val="50E16422"/>
    <w:rsid w:val="526606C2"/>
    <w:rsid w:val="52C25F43"/>
    <w:rsid w:val="53107FEA"/>
    <w:rsid w:val="534575AC"/>
    <w:rsid w:val="536B3DA6"/>
    <w:rsid w:val="5373753A"/>
    <w:rsid w:val="555D5DAC"/>
    <w:rsid w:val="56274136"/>
    <w:rsid w:val="5860767C"/>
    <w:rsid w:val="58F90929"/>
    <w:rsid w:val="5A8A5B22"/>
    <w:rsid w:val="5A8E3503"/>
    <w:rsid w:val="5D5F1EEC"/>
    <w:rsid w:val="5F515F47"/>
    <w:rsid w:val="613F57AC"/>
    <w:rsid w:val="63BB23C3"/>
    <w:rsid w:val="667B2536"/>
    <w:rsid w:val="67564D51"/>
    <w:rsid w:val="67BC4974"/>
    <w:rsid w:val="688E522A"/>
    <w:rsid w:val="69425180"/>
    <w:rsid w:val="69457CDE"/>
    <w:rsid w:val="6A392D95"/>
    <w:rsid w:val="6B340F05"/>
    <w:rsid w:val="6D577B89"/>
    <w:rsid w:val="6FE23300"/>
    <w:rsid w:val="717B788E"/>
    <w:rsid w:val="72FB115A"/>
    <w:rsid w:val="75D95F6E"/>
    <w:rsid w:val="76633342"/>
    <w:rsid w:val="79AC24CD"/>
    <w:rsid w:val="7B2E3BC3"/>
    <w:rsid w:val="7C9E08D4"/>
    <w:rsid w:val="7CAA71D6"/>
    <w:rsid w:val="7CF13F26"/>
    <w:rsid w:val="7ECF52C1"/>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qFormat/>
    <w:uiPriority w:val="0"/>
    <w:pPr>
      <w:ind w:left="100" w:leftChars="2500"/>
    </w:pPr>
  </w:style>
  <w:style w:type="paragraph" w:styleId="3">
    <w:name w:val="Balloon Text"/>
    <w:basedOn w:val="1"/>
    <w:link w:val="15"/>
    <w:semiHidden/>
    <w:unhideWhenUsed/>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character" w:customStyle="1" w:styleId="10">
    <w:name w:val="页眉 字符"/>
    <w:basedOn w:val="8"/>
    <w:link w:val="5"/>
    <w:uiPriority w:val="0"/>
    <w:rPr>
      <w:kern w:val="2"/>
      <w:sz w:val="18"/>
      <w:szCs w:val="18"/>
    </w:rPr>
  </w:style>
  <w:style w:type="character" w:customStyle="1" w:styleId="11">
    <w:name w:val="页脚 字符"/>
    <w:basedOn w:val="8"/>
    <w:link w:val="4"/>
    <w:qFormat/>
    <w:uiPriority w:val="0"/>
    <w:rPr>
      <w:kern w:val="2"/>
      <w:sz w:val="18"/>
      <w:szCs w:val="18"/>
    </w:rPr>
  </w:style>
  <w:style w:type="paragraph" w:styleId="12">
    <w:name w:val="List Paragraph"/>
    <w:basedOn w:val="1"/>
    <w:qFormat/>
    <w:uiPriority w:val="34"/>
    <w:pPr>
      <w:ind w:firstLine="420" w:firstLineChars="200"/>
    </w:pPr>
  </w:style>
  <w:style w:type="character" w:customStyle="1" w:styleId="13">
    <w:name w:val="日期 字符"/>
    <w:basedOn w:val="8"/>
    <w:link w:val="2"/>
    <w:qFormat/>
    <w:uiPriority w:val="0"/>
    <w:rPr>
      <w:kern w:val="2"/>
      <w:sz w:val="21"/>
      <w:szCs w:val="24"/>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批注框文本 字符"/>
    <w:basedOn w:val="8"/>
    <w:link w:val="3"/>
    <w:semiHidden/>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8024B-0284-40E9-BCF6-832F8315F289}">
  <ds:schemaRefs/>
</ds:datastoreItem>
</file>

<file path=docProps/app.xml><?xml version="1.0" encoding="utf-8"?>
<Properties xmlns="http://schemas.openxmlformats.org/officeDocument/2006/extended-properties" xmlns:vt="http://schemas.openxmlformats.org/officeDocument/2006/docPropsVTypes">
  <Template>Normal</Template>
  <Pages>6</Pages>
  <Words>3804</Words>
  <Characters>3908</Characters>
  <Lines>33</Lines>
  <Paragraphs>9</Paragraphs>
  <TotalTime>53</TotalTime>
  <ScaleCrop>false</ScaleCrop>
  <LinksUpToDate>false</LinksUpToDate>
  <CharactersWithSpaces>4021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2022-06-20T01:12:00Z</dcterms:created>
  <dc:creator>t</dc:creator>
  <cp:lastModifiedBy>芋头</cp:lastModifiedBy>
  <cp:lastPrinted>2022-06-20T01:12:00Z</cp:lastPrinted>
  <dcterms:modified xsi:type="dcterms:W3CDTF">2023-06-12T06:17:12Z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5E76BB046A244E8E8167B7AE468E5FB4</vt:lpwstr>
  </property>
</Properties>
</file>